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8C273" w14:textId="1FCAE2DE" w:rsidR="00162912" w:rsidRPr="00162912" w:rsidRDefault="00162912" w:rsidP="00624EFA">
      <w:pPr>
        <w:jc w:val="center"/>
        <w:rPr>
          <w:rFonts w:ascii="Times New Roman" w:hAnsi="Times New Roman" w:cs="Times New Roman"/>
          <w:b/>
          <w:color w:val="4F81BD" w:themeColor="accent1"/>
          <w:sz w:val="28"/>
          <w:szCs w:val="28"/>
        </w:rPr>
      </w:pPr>
      <w:bookmarkStart w:id="0" w:name="_GoBack"/>
      <w:bookmarkEnd w:id="0"/>
      <w:r w:rsidRPr="00162912">
        <w:rPr>
          <w:rFonts w:ascii="Times New Roman" w:hAnsi="Times New Roman" w:cs="Times New Roman"/>
          <w:b/>
          <w:color w:val="4F81BD" w:themeColor="accent1"/>
          <w:sz w:val="28"/>
          <w:szCs w:val="28"/>
        </w:rPr>
        <w:t>NOTE D’INFORMATION SUR LES MARCHES</w:t>
      </w:r>
      <w:r>
        <w:rPr>
          <w:rFonts w:ascii="Times New Roman" w:hAnsi="Times New Roman" w:cs="Times New Roman"/>
          <w:b/>
          <w:color w:val="4F81BD" w:themeColor="accent1"/>
          <w:sz w:val="28"/>
          <w:szCs w:val="28"/>
        </w:rPr>
        <w:t xml:space="preserve">   -   le </w:t>
      </w:r>
      <w:r w:rsidR="00FD2A32">
        <w:rPr>
          <w:rFonts w:ascii="Times New Roman" w:hAnsi="Times New Roman" w:cs="Times New Roman"/>
          <w:b/>
          <w:color w:val="4F81BD" w:themeColor="accent1"/>
          <w:sz w:val="28"/>
          <w:szCs w:val="28"/>
        </w:rPr>
        <w:t>15</w:t>
      </w:r>
      <w:r w:rsidR="00174F87">
        <w:rPr>
          <w:rFonts w:ascii="Times New Roman" w:hAnsi="Times New Roman" w:cs="Times New Roman"/>
          <w:b/>
          <w:color w:val="4F81BD" w:themeColor="accent1"/>
          <w:sz w:val="28"/>
          <w:szCs w:val="28"/>
        </w:rPr>
        <w:t>/0</w:t>
      </w:r>
      <w:r w:rsidR="00A53CE8">
        <w:rPr>
          <w:rFonts w:ascii="Times New Roman" w:hAnsi="Times New Roman" w:cs="Times New Roman"/>
          <w:b/>
          <w:color w:val="4F81BD" w:themeColor="accent1"/>
          <w:sz w:val="28"/>
          <w:szCs w:val="28"/>
        </w:rPr>
        <w:t>1</w:t>
      </w:r>
      <w:r w:rsidR="00174F87">
        <w:rPr>
          <w:rFonts w:ascii="Times New Roman" w:hAnsi="Times New Roman" w:cs="Times New Roman"/>
          <w:b/>
          <w:color w:val="4F81BD" w:themeColor="accent1"/>
          <w:sz w:val="28"/>
          <w:szCs w:val="28"/>
        </w:rPr>
        <w:t>/20</w:t>
      </w:r>
      <w:r w:rsidR="001C51E0">
        <w:rPr>
          <w:rFonts w:ascii="Times New Roman" w:hAnsi="Times New Roman" w:cs="Times New Roman"/>
          <w:b/>
          <w:color w:val="4F81BD" w:themeColor="accent1"/>
          <w:sz w:val="28"/>
          <w:szCs w:val="28"/>
        </w:rPr>
        <w:t>2</w:t>
      </w:r>
      <w:r w:rsidR="00FD2A32">
        <w:rPr>
          <w:rFonts w:ascii="Times New Roman" w:hAnsi="Times New Roman" w:cs="Times New Roman"/>
          <w:b/>
          <w:color w:val="4F81BD" w:themeColor="accent1"/>
          <w:sz w:val="28"/>
          <w:szCs w:val="28"/>
        </w:rPr>
        <w:t>1</w:t>
      </w:r>
    </w:p>
    <w:p w14:paraId="32E88008" w14:textId="754CF53D" w:rsidR="00624EFA" w:rsidRPr="00CB0DF4" w:rsidRDefault="00CB0DF4" w:rsidP="00FB0326">
      <w:pPr>
        <w:jc w:val="both"/>
        <w:rPr>
          <w:rFonts w:ascii="Times New Roman" w:hAnsi="Times New Roman" w:cs="Times New Roman"/>
        </w:rPr>
      </w:pPr>
      <w:r>
        <w:rPr>
          <w:rFonts w:ascii="Times New Roman" w:hAnsi="Times New Roman" w:cs="Times New Roman"/>
        </w:rPr>
        <w:t>Après une année 2019 qui avait fait plus que compenser l’année 2018 (où l’on avait craint une hausse des taux par la FED), l’année 2020 s’annonçait prometteuse</w:t>
      </w:r>
      <w:r w:rsidR="0041627E">
        <w:rPr>
          <w:rFonts w:ascii="Times New Roman" w:hAnsi="Times New Roman" w:cs="Times New Roman"/>
        </w:rPr>
        <w:t>,</w:t>
      </w:r>
      <w:r>
        <w:rPr>
          <w:rFonts w:ascii="Times New Roman" w:hAnsi="Times New Roman" w:cs="Times New Roman"/>
        </w:rPr>
        <w:t xml:space="preserve"> jusqu’à l’arrivée du COVID 19 en février</w:t>
      </w:r>
      <w:r w:rsidR="0041627E">
        <w:rPr>
          <w:rFonts w:ascii="Times New Roman" w:hAnsi="Times New Roman" w:cs="Times New Roman"/>
        </w:rPr>
        <w:t>…</w:t>
      </w:r>
    </w:p>
    <w:p w14:paraId="1C848CF9" w14:textId="77777777" w:rsidR="00FB0326" w:rsidRDefault="00624EFA" w:rsidP="00714D00">
      <w:pPr>
        <w:jc w:val="both"/>
        <w:rPr>
          <w:rFonts w:ascii="Times New Roman" w:hAnsi="Times New Roman" w:cs="Times New Roman"/>
        </w:rPr>
      </w:pPr>
      <w:r>
        <w:rPr>
          <w:rFonts w:ascii="Times New Roman" w:hAnsi="Times New Roman" w:cs="Times New Roman"/>
        </w:rPr>
        <w:t xml:space="preserve">Les résultats des principaux indices européens </w:t>
      </w:r>
      <w:r w:rsidR="00E5418B">
        <w:rPr>
          <w:rFonts w:ascii="Times New Roman" w:hAnsi="Times New Roman" w:cs="Times New Roman"/>
        </w:rPr>
        <w:t xml:space="preserve">et internationaux </w:t>
      </w:r>
      <w:r>
        <w:rPr>
          <w:rFonts w:ascii="Times New Roman" w:hAnsi="Times New Roman" w:cs="Times New Roman"/>
        </w:rPr>
        <w:t>sont les suivants :</w:t>
      </w:r>
    </w:p>
    <w:tbl>
      <w:tblPr>
        <w:tblStyle w:val="Grilledutableau"/>
        <w:tblW w:w="0" w:type="auto"/>
        <w:tblLook w:val="04A0" w:firstRow="1" w:lastRow="0" w:firstColumn="1" w:lastColumn="0" w:noHBand="0" w:noVBand="1"/>
      </w:tblPr>
      <w:tblGrid>
        <w:gridCol w:w="1348"/>
        <w:gridCol w:w="1345"/>
        <w:gridCol w:w="1564"/>
        <w:gridCol w:w="1259"/>
        <w:gridCol w:w="1188"/>
        <w:gridCol w:w="1019"/>
        <w:gridCol w:w="1339"/>
      </w:tblGrid>
      <w:tr w:rsidR="0099065E" w14:paraId="133EC26C" w14:textId="77777777" w:rsidTr="0099065E">
        <w:tc>
          <w:tcPr>
            <w:tcW w:w="1349" w:type="dxa"/>
          </w:tcPr>
          <w:p w14:paraId="2420ECAC" w14:textId="77777777" w:rsidR="0099065E" w:rsidRDefault="0099065E" w:rsidP="00714D00">
            <w:pPr>
              <w:jc w:val="both"/>
              <w:rPr>
                <w:rFonts w:ascii="Times New Roman" w:hAnsi="Times New Roman" w:cs="Times New Roman"/>
              </w:rPr>
            </w:pPr>
          </w:p>
        </w:tc>
        <w:tc>
          <w:tcPr>
            <w:tcW w:w="1350" w:type="dxa"/>
          </w:tcPr>
          <w:p w14:paraId="1E244F83" w14:textId="77777777" w:rsidR="0099065E" w:rsidRDefault="0099065E" w:rsidP="00844B2C">
            <w:pPr>
              <w:jc w:val="center"/>
              <w:rPr>
                <w:rFonts w:ascii="Times New Roman" w:hAnsi="Times New Roman" w:cs="Times New Roman"/>
              </w:rPr>
            </w:pPr>
            <w:r>
              <w:rPr>
                <w:rFonts w:ascii="Times New Roman" w:hAnsi="Times New Roman" w:cs="Times New Roman"/>
              </w:rPr>
              <w:t>CAC 40</w:t>
            </w:r>
          </w:p>
        </w:tc>
        <w:tc>
          <w:tcPr>
            <w:tcW w:w="1566" w:type="dxa"/>
          </w:tcPr>
          <w:p w14:paraId="720B23F0" w14:textId="77777777" w:rsidR="0099065E" w:rsidRDefault="0099065E" w:rsidP="00844B2C">
            <w:pPr>
              <w:jc w:val="center"/>
              <w:rPr>
                <w:rFonts w:ascii="Times New Roman" w:hAnsi="Times New Roman" w:cs="Times New Roman"/>
              </w:rPr>
            </w:pPr>
            <w:r>
              <w:rPr>
                <w:rFonts w:ascii="Times New Roman" w:hAnsi="Times New Roman" w:cs="Times New Roman"/>
              </w:rPr>
              <w:t>EUROSTOX 50</w:t>
            </w:r>
          </w:p>
        </w:tc>
        <w:tc>
          <w:tcPr>
            <w:tcW w:w="1263" w:type="dxa"/>
          </w:tcPr>
          <w:p w14:paraId="306E95BD" w14:textId="77777777" w:rsidR="0099065E" w:rsidRDefault="0099065E" w:rsidP="00844B2C">
            <w:pPr>
              <w:jc w:val="center"/>
              <w:rPr>
                <w:rFonts w:ascii="Times New Roman" w:hAnsi="Times New Roman" w:cs="Times New Roman"/>
              </w:rPr>
            </w:pPr>
            <w:r>
              <w:rPr>
                <w:rFonts w:ascii="Times New Roman" w:hAnsi="Times New Roman" w:cs="Times New Roman"/>
              </w:rPr>
              <w:t>STOX 600</w:t>
            </w:r>
          </w:p>
        </w:tc>
        <w:tc>
          <w:tcPr>
            <w:tcW w:w="1189" w:type="dxa"/>
          </w:tcPr>
          <w:p w14:paraId="1D734EB3" w14:textId="77777777" w:rsidR="0099065E" w:rsidRDefault="0099065E" w:rsidP="00844B2C">
            <w:pPr>
              <w:jc w:val="center"/>
              <w:rPr>
                <w:rFonts w:ascii="Times New Roman" w:hAnsi="Times New Roman" w:cs="Times New Roman"/>
              </w:rPr>
            </w:pPr>
            <w:r>
              <w:rPr>
                <w:rFonts w:ascii="Times New Roman" w:hAnsi="Times New Roman" w:cs="Times New Roman"/>
              </w:rPr>
              <w:t>S&amp;P 500</w:t>
            </w:r>
          </w:p>
        </w:tc>
        <w:tc>
          <w:tcPr>
            <w:tcW w:w="1003" w:type="dxa"/>
          </w:tcPr>
          <w:p w14:paraId="6B9EF71A" w14:textId="77777777" w:rsidR="0099065E" w:rsidRDefault="0099065E" w:rsidP="00844B2C">
            <w:pPr>
              <w:jc w:val="center"/>
              <w:rPr>
                <w:rFonts w:ascii="Times New Roman" w:hAnsi="Times New Roman" w:cs="Times New Roman"/>
              </w:rPr>
            </w:pPr>
            <w:r>
              <w:rPr>
                <w:rFonts w:ascii="Times New Roman" w:hAnsi="Times New Roman" w:cs="Times New Roman"/>
              </w:rPr>
              <w:t>MSCI EM</w:t>
            </w:r>
          </w:p>
        </w:tc>
        <w:tc>
          <w:tcPr>
            <w:tcW w:w="1342" w:type="dxa"/>
          </w:tcPr>
          <w:p w14:paraId="4C7A84A0" w14:textId="77777777" w:rsidR="0099065E" w:rsidRDefault="0099065E" w:rsidP="00844B2C">
            <w:pPr>
              <w:jc w:val="center"/>
              <w:rPr>
                <w:rFonts w:ascii="Times New Roman" w:hAnsi="Times New Roman" w:cs="Times New Roman"/>
              </w:rPr>
            </w:pPr>
            <w:r>
              <w:rPr>
                <w:rFonts w:ascii="Times New Roman" w:hAnsi="Times New Roman" w:cs="Times New Roman"/>
              </w:rPr>
              <w:t>MSCI WORLD</w:t>
            </w:r>
          </w:p>
        </w:tc>
      </w:tr>
      <w:tr w:rsidR="0099065E" w14:paraId="71881055" w14:textId="77777777" w:rsidTr="0099065E">
        <w:tc>
          <w:tcPr>
            <w:tcW w:w="1349" w:type="dxa"/>
          </w:tcPr>
          <w:p w14:paraId="69B569F8" w14:textId="77777777" w:rsidR="0099065E" w:rsidRDefault="0099065E" w:rsidP="00714D00">
            <w:pPr>
              <w:jc w:val="both"/>
              <w:rPr>
                <w:rFonts w:ascii="Times New Roman" w:hAnsi="Times New Roman" w:cs="Times New Roman"/>
              </w:rPr>
            </w:pPr>
            <w:r>
              <w:rPr>
                <w:rFonts w:ascii="Times New Roman" w:hAnsi="Times New Roman" w:cs="Times New Roman"/>
              </w:rPr>
              <w:t>31/12/2015</w:t>
            </w:r>
          </w:p>
        </w:tc>
        <w:tc>
          <w:tcPr>
            <w:tcW w:w="1350" w:type="dxa"/>
          </w:tcPr>
          <w:p w14:paraId="6FAF4CE5" w14:textId="77777777" w:rsidR="0099065E" w:rsidRDefault="0099065E" w:rsidP="00844B2C">
            <w:pPr>
              <w:jc w:val="center"/>
              <w:rPr>
                <w:rFonts w:ascii="Times New Roman" w:hAnsi="Times New Roman" w:cs="Times New Roman"/>
              </w:rPr>
            </w:pPr>
            <w:r>
              <w:rPr>
                <w:rFonts w:ascii="Times New Roman" w:hAnsi="Times New Roman" w:cs="Times New Roman"/>
              </w:rPr>
              <w:t>4.637</w:t>
            </w:r>
          </w:p>
        </w:tc>
        <w:tc>
          <w:tcPr>
            <w:tcW w:w="1566" w:type="dxa"/>
          </w:tcPr>
          <w:p w14:paraId="3325EC6C" w14:textId="77777777" w:rsidR="0099065E" w:rsidRDefault="0099065E" w:rsidP="00844B2C">
            <w:pPr>
              <w:jc w:val="center"/>
              <w:rPr>
                <w:rFonts w:ascii="Times New Roman" w:hAnsi="Times New Roman" w:cs="Times New Roman"/>
              </w:rPr>
            </w:pPr>
            <w:r>
              <w:rPr>
                <w:rFonts w:ascii="Times New Roman" w:hAnsi="Times New Roman" w:cs="Times New Roman"/>
              </w:rPr>
              <w:t>3.288</w:t>
            </w:r>
          </w:p>
        </w:tc>
        <w:tc>
          <w:tcPr>
            <w:tcW w:w="1263" w:type="dxa"/>
          </w:tcPr>
          <w:p w14:paraId="50EBAF32" w14:textId="77777777" w:rsidR="0099065E" w:rsidRDefault="0099065E" w:rsidP="00844B2C">
            <w:pPr>
              <w:jc w:val="center"/>
              <w:rPr>
                <w:rFonts w:ascii="Times New Roman" w:hAnsi="Times New Roman" w:cs="Times New Roman"/>
              </w:rPr>
            </w:pPr>
            <w:r>
              <w:rPr>
                <w:rFonts w:ascii="Times New Roman" w:hAnsi="Times New Roman" w:cs="Times New Roman"/>
              </w:rPr>
              <w:t>366</w:t>
            </w:r>
          </w:p>
        </w:tc>
        <w:tc>
          <w:tcPr>
            <w:tcW w:w="1189" w:type="dxa"/>
          </w:tcPr>
          <w:p w14:paraId="7CACE155" w14:textId="77777777" w:rsidR="0099065E" w:rsidRDefault="0099065E" w:rsidP="00844B2C">
            <w:pPr>
              <w:jc w:val="center"/>
              <w:rPr>
                <w:rFonts w:ascii="Times New Roman" w:hAnsi="Times New Roman" w:cs="Times New Roman"/>
              </w:rPr>
            </w:pPr>
            <w:r>
              <w:rPr>
                <w:rFonts w:ascii="Times New Roman" w:hAnsi="Times New Roman" w:cs="Times New Roman"/>
              </w:rPr>
              <w:t>2.044</w:t>
            </w:r>
          </w:p>
        </w:tc>
        <w:tc>
          <w:tcPr>
            <w:tcW w:w="1003" w:type="dxa"/>
          </w:tcPr>
          <w:p w14:paraId="0F4D87B9" w14:textId="77777777" w:rsidR="0099065E" w:rsidRDefault="0099065E" w:rsidP="00844B2C">
            <w:pPr>
              <w:jc w:val="center"/>
              <w:rPr>
                <w:rFonts w:ascii="Times New Roman" w:hAnsi="Times New Roman" w:cs="Times New Roman"/>
              </w:rPr>
            </w:pPr>
            <w:r>
              <w:rPr>
                <w:rFonts w:ascii="Times New Roman" w:hAnsi="Times New Roman" w:cs="Times New Roman"/>
              </w:rPr>
              <w:t>742</w:t>
            </w:r>
          </w:p>
        </w:tc>
        <w:tc>
          <w:tcPr>
            <w:tcW w:w="1342" w:type="dxa"/>
          </w:tcPr>
          <w:p w14:paraId="2C5C71D7" w14:textId="77777777" w:rsidR="0099065E" w:rsidRDefault="0099065E" w:rsidP="00844B2C">
            <w:pPr>
              <w:jc w:val="center"/>
              <w:rPr>
                <w:rFonts w:ascii="Times New Roman" w:hAnsi="Times New Roman" w:cs="Times New Roman"/>
              </w:rPr>
            </w:pPr>
            <w:r>
              <w:rPr>
                <w:rFonts w:ascii="Times New Roman" w:hAnsi="Times New Roman" w:cs="Times New Roman"/>
              </w:rPr>
              <w:t>1.685</w:t>
            </w:r>
          </w:p>
        </w:tc>
      </w:tr>
      <w:tr w:rsidR="0099065E" w14:paraId="2B362033" w14:textId="77777777" w:rsidTr="0099065E">
        <w:tc>
          <w:tcPr>
            <w:tcW w:w="1349" w:type="dxa"/>
          </w:tcPr>
          <w:p w14:paraId="0BE774CF" w14:textId="77777777" w:rsidR="0099065E" w:rsidRDefault="0099065E" w:rsidP="00714D00">
            <w:pPr>
              <w:jc w:val="both"/>
              <w:rPr>
                <w:rFonts w:ascii="Times New Roman" w:hAnsi="Times New Roman" w:cs="Times New Roman"/>
              </w:rPr>
            </w:pPr>
            <w:r>
              <w:rPr>
                <w:rFonts w:ascii="Times New Roman" w:hAnsi="Times New Roman" w:cs="Times New Roman"/>
              </w:rPr>
              <w:t>30/12/2016</w:t>
            </w:r>
          </w:p>
        </w:tc>
        <w:tc>
          <w:tcPr>
            <w:tcW w:w="1350" w:type="dxa"/>
          </w:tcPr>
          <w:p w14:paraId="4978DA47" w14:textId="77777777" w:rsidR="0099065E" w:rsidRDefault="0099065E" w:rsidP="00844B2C">
            <w:pPr>
              <w:jc w:val="center"/>
              <w:rPr>
                <w:rFonts w:ascii="Times New Roman" w:hAnsi="Times New Roman" w:cs="Times New Roman"/>
              </w:rPr>
            </w:pPr>
            <w:r>
              <w:rPr>
                <w:rFonts w:ascii="Times New Roman" w:hAnsi="Times New Roman" w:cs="Times New Roman"/>
              </w:rPr>
              <w:t>4.862</w:t>
            </w:r>
          </w:p>
        </w:tc>
        <w:tc>
          <w:tcPr>
            <w:tcW w:w="1566" w:type="dxa"/>
          </w:tcPr>
          <w:p w14:paraId="3C5AAEA9" w14:textId="77777777" w:rsidR="0099065E" w:rsidRDefault="0099065E" w:rsidP="00844B2C">
            <w:pPr>
              <w:jc w:val="center"/>
              <w:rPr>
                <w:rFonts w:ascii="Times New Roman" w:hAnsi="Times New Roman" w:cs="Times New Roman"/>
              </w:rPr>
            </w:pPr>
            <w:r>
              <w:rPr>
                <w:rFonts w:ascii="Times New Roman" w:hAnsi="Times New Roman" w:cs="Times New Roman"/>
              </w:rPr>
              <w:t>3.291</w:t>
            </w:r>
          </w:p>
        </w:tc>
        <w:tc>
          <w:tcPr>
            <w:tcW w:w="1263" w:type="dxa"/>
          </w:tcPr>
          <w:p w14:paraId="7DEB4D34" w14:textId="77777777" w:rsidR="0099065E" w:rsidRDefault="0099065E" w:rsidP="00844B2C">
            <w:pPr>
              <w:jc w:val="center"/>
              <w:rPr>
                <w:rFonts w:ascii="Times New Roman" w:hAnsi="Times New Roman" w:cs="Times New Roman"/>
              </w:rPr>
            </w:pPr>
            <w:r>
              <w:rPr>
                <w:rFonts w:ascii="Times New Roman" w:hAnsi="Times New Roman" w:cs="Times New Roman"/>
              </w:rPr>
              <w:t>361</w:t>
            </w:r>
          </w:p>
        </w:tc>
        <w:tc>
          <w:tcPr>
            <w:tcW w:w="1189" w:type="dxa"/>
          </w:tcPr>
          <w:p w14:paraId="46FDAC7E" w14:textId="77777777" w:rsidR="0099065E" w:rsidRDefault="0099065E" w:rsidP="00844B2C">
            <w:pPr>
              <w:jc w:val="center"/>
              <w:rPr>
                <w:rFonts w:ascii="Times New Roman" w:hAnsi="Times New Roman" w:cs="Times New Roman"/>
              </w:rPr>
            </w:pPr>
            <w:r>
              <w:rPr>
                <w:rFonts w:ascii="Times New Roman" w:hAnsi="Times New Roman" w:cs="Times New Roman"/>
              </w:rPr>
              <w:t>2.239</w:t>
            </w:r>
          </w:p>
        </w:tc>
        <w:tc>
          <w:tcPr>
            <w:tcW w:w="1003" w:type="dxa"/>
          </w:tcPr>
          <w:p w14:paraId="0CCF2722" w14:textId="77777777" w:rsidR="0099065E" w:rsidRDefault="0099065E" w:rsidP="00844B2C">
            <w:pPr>
              <w:jc w:val="center"/>
              <w:rPr>
                <w:rFonts w:ascii="Times New Roman" w:hAnsi="Times New Roman" w:cs="Times New Roman"/>
              </w:rPr>
            </w:pPr>
            <w:r>
              <w:rPr>
                <w:rFonts w:ascii="Times New Roman" w:hAnsi="Times New Roman" w:cs="Times New Roman"/>
              </w:rPr>
              <w:t>909</w:t>
            </w:r>
          </w:p>
        </w:tc>
        <w:tc>
          <w:tcPr>
            <w:tcW w:w="1342" w:type="dxa"/>
          </w:tcPr>
          <w:p w14:paraId="021CF02A" w14:textId="77777777" w:rsidR="0099065E" w:rsidRDefault="0099065E" w:rsidP="00844B2C">
            <w:pPr>
              <w:jc w:val="center"/>
              <w:rPr>
                <w:rFonts w:ascii="Times New Roman" w:hAnsi="Times New Roman" w:cs="Times New Roman"/>
              </w:rPr>
            </w:pPr>
            <w:r>
              <w:rPr>
                <w:rFonts w:ascii="Times New Roman" w:hAnsi="Times New Roman" w:cs="Times New Roman"/>
              </w:rPr>
              <w:t>1.753</w:t>
            </w:r>
          </w:p>
        </w:tc>
      </w:tr>
      <w:tr w:rsidR="0099065E" w14:paraId="7965134C" w14:textId="77777777" w:rsidTr="0099065E">
        <w:tc>
          <w:tcPr>
            <w:tcW w:w="1349" w:type="dxa"/>
          </w:tcPr>
          <w:p w14:paraId="567E0D0F" w14:textId="77777777" w:rsidR="0099065E" w:rsidRPr="00AC76A7" w:rsidRDefault="0099065E" w:rsidP="00714D00">
            <w:pPr>
              <w:jc w:val="both"/>
              <w:rPr>
                <w:rFonts w:ascii="Times New Roman" w:hAnsi="Times New Roman" w:cs="Times New Roman"/>
              </w:rPr>
            </w:pPr>
            <w:r>
              <w:rPr>
                <w:rFonts w:ascii="Times New Roman" w:hAnsi="Times New Roman" w:cs="Times New Roman"/>
              </w:rPr>
              <w:t>31/12/2017</w:t>
            </w:r>
          </w:p>
        </w:tc>
        <w:tc>
          <w:tcPr>
            <w:tcW w:w="1350" w:type="dxa"/>
          </w:tcPr>
          <w:p w14:paraId="3CC7E2B3" w14:textId="77777777" w:rsidR="0099065E" w:rsidRDefault="0099065E" w:rsidP="00844B2C">
            <w:pPr>
              <w:jc w:val="center"/>
              <w:rPr>
                <w:rFonts w:ascii="Times New Roman" w:hAnsi="Times New Roman" w:cs="Times New Roman"/>
              </w:rPr>
            </w:pPr>
            <w:r>
              <w:rPr>
                <w:rFonts w:ascii="Times New Roman" w:hAnsi="Times New Roman" w:cs="Times New Roman"/>
              </w:rPr>
              <w:t>5.312</w:t>
            </w:r>
          </w:p>
        </w:tc>
        <w:tc>
          <w:tcPr>
            <w:tcW w:w="1566" w:type="dxa"/>
          </w:tcPr>
          <w:p w14:paraId="5B50B63B" w14:textId="77777777" w:rsidR="0099065E" w:rsidRDefault="0099065E" w:rsidP="00844B2C">
            <w:pPr>
              <w:jc w:val="center"/>
              <w:rPr>
                <w:rFonts w:ascii="Times New Roman" w:hAnsi="Times New Roman" w:cs="Times New Roman"/>
              </w:rPr>
            </w:pPr>
            <w:r>
              <w:rPr>
                <w:rFonts w:ascii="Times New Roman" w:hAnsi="Times New Roman" w:cs="Times New Roman"/>
              </w:rPr>
              <w:t>3.504</w:t>
            </w:r>
          </w:p>
        </w:tc>
        <w:tc>
          <w:tcPr>
            <w:tcW w:w="1263" w:type="dxa"/>
          </w:tcPr>
          <w:p w14:paraId="426BE108" w14:textId="77777777" w:rsidR="0099065E" w:rsidRDefault="0099065E" w:rsidP="00844B2C">
            <w:pPr>
              <w:jc w:val="center"/>
              <w:rPr>
                <w:rFonts w:ascii="Times New Roman" w:hAnsi="Times New Roman" w:cs="Times New Roman"/>
              </w:rPr>
            </w:pPr>
            <w:r>
              <w:rPr>
                <w:rFonts w:ascii="Times New Roman" w:hAnsi="Times New Roman" w:cs="Times New Roman"/>
              </w:rPr>
              <w:t>385</w:t>
            </w:r>
          </w:p>
        </w:tc>
        <w:tc>
          <w:tcPr>
            <w:tcW w:w="1189" w:type="dxa"/>
          </w:tcPr>
          <w:p w14:paraId="3FA4C374" w14:textId="77777777" w:rsidR="0099065E" w:rsidRDefault="0099065E" w:rsidP="00844B2C">
            <w:pPr>
              <w:jc w:val="center"/>
              <w:rPr>
                <w:rFonts w:ascii="Times New Roman" w:hAnsi="Times New Roman" w:cs="Times New Roman"/>
              </w:rPr>
            </w:pPr>
            <w:r>
              <w:rPr>
                <w:rFonts w:ascii="Times New Roman" w:hAnsi="Times New Roman" w:cs="Times New Roman"/>
              </w:rPr>
              <w:t>2.674</w:t>
            </w:r>
          </w:p>
        </w:tc>
        <w:tc>
          <w:tcPr>
            <w:tcW w:w="1003" w:type="dxa"/>
          </w:tcPr>
          <w:p w14:paraId="2EEB00EC" w14:textId="77777777" w:rsidR="0099065E" w:rsidRDefault="0099065E" w:rsidP="00844B2C">
            <w:pPr>
              <w:jc w:val="center"/>
              <w:rPr>
                <w:rFonts w:ascii="Times New Roman" w:hAnsi="Times New Roman" w:cs="Times New Roman"/>
              </w:rPr>
            </w:pPr>
            <w:r>
              <w:rPr>
                <w:rFonts w:ascii="Times New Roman" w:hAnsi="Times New Roman" w:cs="Times New Roman"/>
              </w:rPr>
              <w:t>1.255</w:t>
            </w:r>
          </w:p>
        </w:tc>
        <w:tc>
          <w:tcPr>
            <w:tcW w:w="1342" w:type="dxa"/>
          </w:tcPr>
          <w:p w14:paraId="088F3807" w14:textId="77777777" w:rsidR="0099065E" w:rsidRDefault="0099065E" w:rsidP="00844B2C">
            <w:pPr>
              <w:jc w:val="center"/>
              <w:rPr>
                <w:rFonts w:ascii="Times New Roman" w:hAnsi="Times New Roman" w:cs="Times New Roman"/>
              </w:rPr>
            </w:pPr>
            <w:r>
              <w:rPr>
                <w:rFonts w:ascii="Times New Roman" w:hAnsi="Times New Roman" w:cs="Times New Roman"/>
              </w:rPr>
              <w:t>2.103</w:t>
            </w:r>
          </w:p>
        </w:tc>
      </w:tr>
      <w:tr w:rsidR="0099065E" w14:paraId="03D84A77" w14:textId="77777777" w:rsidTr="0099065E">
        <w:tc>
          <w:tcPr>
            <w:tcW w:w="1349" w:type="dxa"/>
          </w:tcPr>
          <w:p w14:paraId="35A231A3" w14:textId="77777777" w:rsidR="0099065E" w:rsidRDefault="0099065E" w:rsidP="00714D00">
            <w:pPr>
              <w:jc w:val="both"/>
              <w:rPr>
                <w:rFonts w:ascii="Times New Roman" w:hAnsi="Times New Roman" w:cs="Times New Roman"/>
              </w:rPr>
            </w:pPr>
            <w:r>
              <w:rPr>
                <w:rFonts w:ascii="Times New Roman" w:hAnsi="Times New Roman" w:cs="Times New Roman"/>
              </w:rPr>
              <w:t>31/12/2018</w:t>
            </w:r>
          </w:p>
        </w:tc>
        <w:tc>
          <w:tcPr>
            <w:tcW w:w="1350" w:type="dxa"/>
          </w:tcPr>
          <w:p w14:paraId="2A570AC4" w14:textId="77777777" w:rsidR="0099065E" w:rsidRDefault="0099065E" w:rsidP="00844B2C">
            <w:pPr>
              <w:jc w:val="center"/>
              <w:rPr>
                <w:rFonts w:ascii="Times New Roman" w:hAnsi="Times New Roman" w:cs="Times New Roman"/>
              </w:rPr>
            </w:pPr>
            <w:r>
              <w:rPr>
                <w:rFonts w:ascii="Times New Roman" w:hAnsi="Times New Roman" w:cs="Times New Roman"/>
              </w:rPr>
              <w:t>4.731</w:t>
            </w:r>
          </w:p>
        </w:tc>
        <w:tc>
          <w:tcPr>
            <w:tcW w:w="1566" w:type="dxa"/>
          </w:tcPr>
          <w:p w14:paraId="6844BECB" w14:textId="77777777" w:rsidR="0099065E" w:rsidRDefault="0099065E" w:rsidP="00844B2C">
            <w:pPr>
              <w:jc w:val="center"/>
              <w:rPr>
                <w:rFonts w:ascii="Times New Roman" w:hAnsi="Times New Roman" w:cs="Times New Roman"/>
              </w:rPr>
            </w:pPr>
            <w:r>
              <w:rPr>
                <w:rFonts w:ascii="Times New Roman" w:hAnsi="Times New Roman" w:cs="Times New Roman"/>
              </w:rPr>
              <w:t>2.986</w:t>
            </w:r>
          </w:p>
        </w:tc>
        <w:tc>
          <w:tcPr>
            <w:tcW w:w="1263" w:type="dxa"/>
          </w:tcPr>
          <w:p w14:paraId="3058576D" w14:textId="77777777" w:rsidR="0099065E" w:rsidRDefault="0099065E" w:rsidP="00844B2C">
            <w:pPr>
              <w:jc w:val="center"/>
              <w:rPr>
                <w:rFonts w:ascii="Times New Roman" w:hAnsi="Times New Roman" w:cs="Times New Roman"/>
              </w:rPr>
            </w:pPr>
            <w:r>
              <w:rPr>
                <w:rFonts w:ascii="Times New Roman" w:hAnsi="Times New Roman" w:cs="Times New Roman"/>
              </w:rPr>
              <w:t>338</w:t>
            </w:r>
          </w:p>
        </w:tc>
        <w:tc>
          <w:tcPr>
            <w:tcW w:w="1189" w:type="dxa"/>
          </w:tcPr>
          <w:p w14:paraId="481EB6BB" w14:textId="77777777" w:rsidR="0099065E" w:rsidRDefault="0099065E" w:rsidP="00844B2C">
            <w:pPr>
              <w:jc w:val="center"/>
              <w:rPr>
                <w:rFonts w:ascii="Times New Roman" w:hAnsi="Times New Roman" w:cs="Times New Roman"/>
              </w:rPr>
            </w:pPr>
            <w:r>
              <w:rPr>
                <w:rFonts w:ascii="Times New Roman" w:hAnsi="Times New Roman" w:cs="Times New Roman"/>
              </w:rPr>
              <w:t>2.507</w:t>
            </w:r>
          </w:p>
        </w:tc>
        <w:tc>
          <w:tcPr>
            <w:tcW w:w="1003" w:type="dxa"/>
          </w:tcPr>
          <w:p w14:paraId="5D54FE5F" w14:textId="77777777" w:rsidR="0099065E" w:rsidRDefault="0099065E" w:rsidP="00844B2C">
            <w:pPr>
              <w:jc w:val="center"/>
              <w:rPr>
                <w:rFonts w:ascii="Times New Roman" w:hAnsi="Times New Roman" w:cs="Times New Roman"/>
              </w:rPr>
            </w:pPr>
            <w:r>
              <w:rPr>
                <w:rFonts w:ascii="Times New Roman" w:hAnsi="Times New Roman" w:cs="Times New Roman"/>
              </w:rPr>
              <w:t>965</w:t>
            </w:r>
          </w:p>
        </w:tc>
        <w:tc>
          <w:tcPr>
            <w:tcW w:w="1342" w:type="dxa"/>
          </w:tcPr>
          <w:p w14:paraId="20AF6592" w14:textId="77777777" w:rsidR="0099065E" w:rsidRDefault="0099065E" w:rsidP="00844B2C">
            <w:pPr>
              <w:jc w:val="center"/>
              <w:rPr>
                <w:rFonts w:ascii="Times New Roman" w:hAnsi="Times New Roman" w:cs="Times New Roman"/>
              </w:rPr>
            </w:pPr>
            <w:r>
              <w:rPr>
                <w:rFonts w:ascii="Times New Roman" w:hAnsi="Times New Roman" w:cs="Times New Roman"/>
              </w:rPr>
              <w:t>1.904</w:t>
            </w:r>
          </w:p>
        </w:tc>
      </w:tr>
      <w:tr w:rsidR="0099065E" w14:paraId="428D1B19" w14:textId="77777777" w:rsidTr="0099065E">
        <w:tc>
          <w:tcPr>
            <w:tcW w:w="1349" w:type="dxa"/>
          </w:tcPr>
          <w:p w14:paraId="1BAD6218" w14:textId="77777777" w:rsidR="0099065E" w:rsidRDefault="0099065E" w:rsidP="00714D00">
            <w:pPr>
              <w:jc w:val="both"/>
              <w:rPr>
                <w:rFonts w:ascii="Times New Roman" w:hAnsi="Times New Roman" w:cs="Times New Roman"/>
              </w:rPr>
            </w:pPr>
            <w:r>
              <w:rPr>
                <w:rFonts w:ascii="Times New Roman" w:hAnsi="Times New Roman" w:cs="Times New Roman"/>
              </w:rPr>
              <w:t>31/12/2019</w:t>
            </w:r>
          </w:p>
        </w:tc>
        <w:tc>
          <w:tcPr>
            <w:tcW w:w="1350" w:type="dxa"/>
          </w:tcPr>
          <w:p w14:paraId="6598E24C" w14:textId="77777777" w:rsidR="0099065E" w:rsidRDefault="0099065E" w:rsidP="00844B2C">
            <w:pPr>
              <w:jc w:val="center"/>
              <w:rPr>
                <w:rFonts w:ascii="Times New Roman" w:hAnsi="Times New Roman" w:cs="Times New Roman"/>
              </w:rPr>
            </w:pPr>
            <w:r>
              <w:rPr>
                <w:rFonts w:ascii="Times New Roman" w:hAnsi="Times New Roman" w:cs="Times New Roman"/>
              </w:rPr>
              <w:t>5.978</w:t>
            </w:r>
          </w:p>
        </w:tc>
        <w:tc>
          <w:tcPr>
            <w:tcW w:w="1566" w:type="dxa"/>
          </w:tcPr>
          <w:p w14:paraId="352E6490" w14:textId="77777777" w:rsidR="0099065E" w:rsidRDefault="0099065E" w:rsidP="00844B2C">
            <w:pPr>
              <w:jc w:val="center"/>
              <w:rPr>
                <w:rFonts w:ascii="Times New Roman" w:hAnsi="Times New Roman" w:cs="Times New Roman"/>
              </w:rPr>
            </w:pPr>
            <w:r>
              <w:rPr>
                <w:rFonts w:ascii="Times New Roman" w:hAnsi="Times New Roman" w:cs="Times New Roman"/>
              </w:rPr>
              <w:t>3.745</w:t>
            </w:r>
          </w:p>
        </w:tc>
        <w:tc>
          <w:tcPr>
            <w:tcW w:w="1263" w:type="dxa"/>
          </w:tcPr>
          <w:p w14:paraId="4FD4B1D1" w14:textId="77777777" w:rsidR="0099065E" w:rsidRDefault="0099065E" w:rsidP="00844B2C">
            <w:pPr>
              <w:jc w:val="center"/>
              <w:rPr>
                <w:rFonts w:ascii="Times New Roman" w:hAnsi="Times New Roman" w:cs="Times New Roman"/>
              </w:rPr>
            </w:pPr>
            <w:r>
              <w:rPr>
                <w:rFonts w:ascii="Times New Roman" w:hAnsi="Times New Roman" w:cs="Times New Roman"/>
              </w:rPr>
              <w:t>416</w:t>
            </w:r>
          </w:p>
        </w:tc>
        <w:tc>
          <w:tcPr>
            <w:tcW w:w="1189" w:type="dxa"/>
          </w:tcPr>
          <w:p w14:paraId="2DB68009" w14:textId="77777777" w:rsidR="0099065E" w:rsidRDefault="0099065E" w:rsidP="00844B2C">
            <w:pPr>
              <w:jc w:val="center"/>
              <w:rPr>
                <w:rFonts w:ascii="Times New Roman" w:hAnsi="Times New Roman" w:cs="Times New Roman"/>
              </w:rPr>
            </w:pPr>
            <w:r>
              <w:rPr>
                <w:rFonts w:ascii="Times New Roman" w:hAnsi="Times New Roman" w:cs="Times New Roman"/>
              </w:rPr>
              <w:t>3.221</w:t>
            </w:r>
          </w:p>
        </w:tc>
        <w:tc>
          <w:tcPr>
            <w:tcW w:w="1003" w:type="dxa"/>
          </w:tcPr>
          <w:p w14:paraId="4D5A9C54" w14:textId="77777777" w:rsidR="0099065E" w:rsidRDefault="0099065E" w:rsidP="00844B2C">
            <w:pPr>
              <w:jc w:val="center"/>
              <w:rPr>
                <w:rFonts w:ascii="Times New Roman" w:hAnsi="Times New Roman" w:cs="Times New Roman"/>
              </w:rPr>
            </w:pPr>
            <w:r>
              <w:rPr>
                <w:rFonts w:ascii="Times New Roman" w:hAnsi="Times New Roman" w:cs="Times New Roman"/>
              </w:rPr>
              <w:t>1.115</w:t>
            </w:r>
          </w:p>
        </w:tc>
        <w:tc>
          <w:tcPr>
            <w:tcW w:w="1342" w:type="dxa"/>
          </w:tcPr>
          <w:p w14:paraId="282C3229" w14:textId="77777777" w:rsidR="0099065E" w:rsidRDefault="0099065E" w:rsidP="00844B2C">
            <w:pPr>
              <w:jc w:val="center"/>
              <w:rPr>
                <w:rFonts w:ascii="Times New Roman" w:hAnsi="Times New Roman" w:cs="Times New Roman"/>
              </w:rPr>
            </w:pPr>
            <w:r>
              <w:rPr>
                <w:rFonts w:ascii="Times New Roman" w:hAnsi="Times New Roman" w:cs="Times New Roman"/>
              </w:rPr>
              <w:t>2.358</w:t>
            </w:r>
          </w:p>
        </w:tc>
      </w:tr>
      <w:tr w:rsidR="00FF2702" w14:paraId="39EC8272" w14:textId="77777777" w:rsidTr="0099065E">
        <w:tc>
          <w:tcPr>
            <w:tcW w:w="1349" w:type="dxa"/>
          </w:tcPr>
          <w:p w14:paraId="4597C30C" w14:textId="02FAEAEF" w:rsidR="00FF2702" w:rsidRDefault="00FF2702" w:rsidP="00714D00">
            <w:pPr>
              <w:jc w:val="both"/>
              <w:rPr>
                <w:rFonts w:ascii="Times New Roman" w:hAnsi="Times New Roman" w:cs="Times New Roman"/>
              </w:rPr>
            </w:pPr>
            <w:r>
              <w:rPr>
                <w:rFonts w:ascii="Times New Roman" w:hAnsi="Times New Roman" w:cs="Times New Roman"/>
              </w:rPr>
              <w:t>31/12/2020</w:t>
            </w:r>
          </w:p>
        </w:tc>
        <w:tc>
          <w:tcPr>
            <w:tcW w:w="1350" w:type="dxa"/>
          </w:tcPr>
          <w:p w14:paraId="6A228510" w14:textId="102EB2AD" w:rsidR="00FF2702" w:rsidRDefault="00FF2702" w:rsidP="00844B2C">
            <w:pPr>
              <w:jc w:val="center"/>
              <w:rPr>
                <w:rFonts w:ascii="Times New Roman" w:hAnsi="Times New Roman" w:cs="Times New Roman"/>
              </w:rPr>
            </w:pPr>
            <w:r>
              <w:rPr>
                <w:rFonts w:ascii="Times New Roman" w:hAnsi="Times New Roman" w:cs="Times New Roman"/>
              </w:rPr>
              <w:t>5.551</w:t>
            </w:r>
          </w:p>
        </w:tc>
        <w:tc>
          <w:tcPr>
            <w:tcW w:w="1566" w:type="dxa"/>
          </w:tcPr>
          <w:p w14:paraId="4957B19F" w14:textId="64A59E16" w:rsidR="00FF2702" w:rsidRDefault="00FF2702" w:rsidP="00844B2C">
            <w:pPr>
              <w:jc w:val="center"/>
              <w:rPr>
                <w:rFonts w:ascii="Times New Roman" w:hAnsi="Times New Roman" w:cs="Times New Roman"/>
              </w:rPr>
            </w:pPr>
            <w:r>
              <w:rPr>
                <w:rFonts w:ascii="Times New Roman" w:hAnsi="Times New Roman" w:cs="Times New Roman"/>
              </w:rPr>
              <w:t>3.553</w:t>
            </w:r>
          </w:p>
        </w:tc>
        <w:tc>
          <w:tcPr>
            <w:tcW w:w="1263" w:type="dxa"/>
          </w:tcPr>
          <w:p w14:paraId="4445EF70" w14:textId="301B3E81" w:rsidR="00FF2702" w:rsidRDefault="00FF2702" w:rsidP="00844B2C">
            <w:pPr>
              <w:jc w:val="center"/>
              <w:rPr>
                <w:rFonts w:ascii="Times New Roman" w:hAnsi="Times New Roman" w:cs="Times New Roman"/>
              </w:rPr>
            </w:pPr>
            <w:r>
              <w:rPr>
                <w:rFonts w:ascii="Times New Roman" w:hAnsi="Times New Roman" w:cs="Times New Roman"/>
              </w:rPr>
              <w:t>409</w:t>
            </w:r>
          </w:p>
        </w:tc>
        <w:tc>
          <w:tcPr>
            <w:tcW w:w="1189" w:type="dxa"/>
          </w:tcPr>
          <w:p w14:paraId="49FF6AE3" w14:textId="6CBFF99F" w:rsidR="00FF2702" w:rsidRDefault="00FD54DE" w:rsidP="00844B2C">
            <w:pPr>
              <w:jc w:val="center"/>
              <w:rPr>
                <w:rFonts w:ascii="Times New Roman" w:hAnsi="Times New Roman" w:cs="Times New Roman"/>
              </w:rPr>
            </w:pPr>
            <w:r>
              <w:rPr>
                <w:rFonts w:ascii="Times New Roman" w:hAnsi="Times New Roman" w:cs="Times New Roman"/>
              </w:rPr>
              <w:t>3.756</w:t>
            </w:r>
          </w:p>
        </w:tc>
        <w:tc>
          <w:tcPr>
            <w:tcW w:w="1003" w:type="dxa"/>
          </w:tcPr>
          <w:p w14:paraId="66B46014" w14:textId="3D1E195D" w:rsidR="00FF2702" w:rsidRDefault="00FD54DE" w:rsidP="00844B2C">
            <w:pPr>
              <w:jc w:val="center"/>
              <w:rPr>
                <w:rFonts w:ascii="Times New Roman" w:hAnsi="Times New Roman" w:cs="Times New Roman"/>
              </w:rPr>
            </w:pPr>
            <w:r>
              <w:rPr>
                <w:rFonts w:ascii="Times New Roman" w:hAnsi="Times New Roman" w:cs="Times New Roman"/>
              </w:rPr>
              <w:t>1.291</w:t>
            </w:r>
          </w:p>
        </w:tc>
        <w:tc>
          <w:tcPr>
            <w:tcW w:w="1342" w:type="dxa"/>
          </w:tcPr>
          <w:p w14:paraId="30D6C266" w14:textId="6572A8AC" w:rsidR="00FF2702" w:rsidRDefault="00FD54DE" w:rsidP="00844B2C">
            <w:pPr>
              <w:jc w:val="center"/>
              <w:rPr>
                <w:rFonts w:ascii="Times New Roman" w:hAnsi="Times New Roman" w:cs="Times New Roman"/>
              </w:rPr>
            </w:pPr>
            <w:r>
              <w:rPr>
                <w:rFonts w:ascii="Times New Roman" w:hAnsi="Times New Roman" w:cs="Times New Roman"/>
              </w:rPr>
              <w:t>2.690</w:t>
            </w:r>
          </w:p>
        </w:tc>
      </w:tr>
      <w:tr w:rsidR="0099065E" w14:paraId="0F0EA266" w14:textId="77777777" w:rsidTr="0099065E">
        <w:trPr>
          <w:trHeight w:val="282"/>
        </w:trPr>
        <w:tc>
          <w:tcPr>
            <w:tcW w:w="1349" w:type="dxa"/>
          </w:tcPr>
          <w:p w14:paraId="3A555D82" w14:textId="77777777" w:rsidR="0099065E" w:rsidRPr="00AC76A7" w:rsidRDefault="0099065E" w:rsidP="00CA4729">
            <w:pPr>
              <w:rPr>
                <w:rFonts w:ascii="Times New Roman" w:hAnsi="Times New Roman" w:cs="Times New Roman"/>
              </w:rPr>
            </w:pPr>
            <w:r w:rsidRPr="00AC76A7">
              <w:rPr>
                <w:rFonts w:ascii="Times New Roman" w:hAnsi="Times New Roman" w:cs="Times New Roman"/>
              </w:rPr>
              <w:t>Variation</w:t>
            </w:r>
          </w:p>
        </w:tc>
        <w:tc>
          <w:tcPr>
            <w:tcW w:w="1350" w:type="dxa"/>
          </w:tcPr>
          <w:p w14:paraId="77F10C61" w14:textId="4457232B" w:rsidR="0099065E" w:rsidRDefault="00CB0DF4" w:rsidP="00CA4729">
            <w:pPr>
              <w:jc w:val="center"/>
              <w:rPr>
                <w:rFonts w:ascii="Times New Roman" w:hAnsi="Times New Roman" w:cs="Times New Roman"/>
              </w:rPr>
            </w:pPr>
            <w:r>
              <w:rPr>
                <w:rFonts w:ascii="Times New Roman" w:hAnsi="Times New Roman" w:cs="Times New Roman"/>
              </w:rPr>
              <w:t>-7.14%</w:t>
            </w:r>
          </w:p>
        </w:tc>
        <w:tc>
          <w:tcPr>
            <w:tcW w:w="1566" w:type="dxa"/>
          </w:tcPr>
          <w:p w14:paraId="7574E25E" w14:textId="342F75C3" w:rsidR="0099065E" w:rsidRDefault="00CB0DF4" w:rsidP="00CA4729">
            <w:pPr>
              <w:jc w:val="center"/>
              <w:rPr>
                <w:rFonts w:ascii="Times New Roman" w:hAnsi="Times New Roman" w:cs="Times New Roman"/>
              </w:rPr>
            </w:pPr>
            <w:r>
              <w:rPr>
                <w:rFonts w:ascii="Times New Roman" w:hAnsi="Times New Roman" w:cs="Times New Roman"/>
              </w:rPr>
              <w:t>-5.13%</w:t>
            </w:r>
          </w:p>
        </w:tc>
        <w:tc>
          <w:tcPr>
            <w:tcW w:w="1263" w:type="dxa"/>
          </w:tcPr>
          <w:p w14:paraId="201D172D" w14:textId="047BFB60" w:rsidR="0099065E" w:rsidRDefault="00CB0DF4" w:rsidP="00CA4729">
            <w:pPr>
              <w:jc w:val="center"/>
              <w:rPr>
                <w:rFonts w:ascii="Times New Roman" w:hAnsi="Times New Roman" w:cs="Times New Roman"/>
              </w:rPr>
            </w:pPr>
            <w:r>
              <w:rPr>
                <w:rFonts w:ascii="Times New Roman" w:hAnsi="Times New Roman" w:cs="Times New Roman"/>
              </w:rPr>
              <w:t>-1.68%</w:t>
            </w:r>
          </w:p>
        </w:tc>
        <w:tc>
          <w:tcPr>
            <w:tcW w:w="1189" w:type="dxa"/>
          </w:tcPr>
          <w:p w14:paraId="170EE9E6" w14:textId="5C0BD552" w:rsidR="0099065E" w:rsidRDefault="00CB0DF4" w:rsidP="00CA4729">
            <w:pPr>
              <w:jc w:val="center"/>
              <w:rPr>
                <w:rFonts w:ascii="Times New Roman" w:hAnsi="Times New Roman" w:cs="Times New Roman"/>
              </w:rPr>
            </w:pPr>
            <w:r>
              <w:rPr>
                <w:rFonts w:ascii="Times New Roman" w:hAnsi="Times New Roman" w:cs="Times New Roman"/>
              </w:rPr>
              <w:t>+16,61%</w:t>
            </w:r>
          </w:p>
        </w:tc>
        <w:tc>
          <w:tcPr>
            <w:tcW w:w="1003" w:type="dxa"/>
          </w:tcPr>
          <w:p w14:paraId="322FDA26" w14:textId="4FF9A399" w:rsidR="0099065E" w:rsidRDefault="00CB0DF4" w:rsidP="00CA4729">
            <w:pPr>
              <w:jc w:val="center"/>
              <w:rPr>
                <w:rFonts w:ascii="Times New Roman" w:hAnsi="Times New Roman" w:cs="Times New Roman"/>
              </w:rPr>
            </w:pPr>
            <w:r>
              <w:rPr>
                <w:rFonts w:ascii="Times New Roman" w:hAnsi="Times New Roman" w:cs="Times New Roman"/>
              </w:rPr>
              <w:t>+15,78%</w:t>
            </w:r>
          </w:p>
        </w:tc>
        <w:tc>
          <w:tcPr>
            <w:tcW w:w="1342" w:type="dxa"/>
          </w:tcPr>
          <w:p w14:paraId="70D0A31E" w14:textId="67F5A359" w:rsidR="0099065E" w:rsidRDefault="00CB0DF4" w:rsidP="00CA4729">
            <w:pPr>
              <w:jc w:val="center"/>
              <w:rPr>
                <w:rFonts w:ascii="Times New Roman" w:hAnsi="Times New Roman" w:cs="Times New Roman"/>
              </w:rPr>
            </w:pPr>
            <w:r>
              <w:rPr>
                <w:rFonts w:ascii="Times New Roman" w:hAnsi="Times New Roman" w:cs="Times New Roman"/>
              </w:rPr>
              <w:t>+14,08%</w:t>
            </w:r>
          </w:p>
        </w:tc>
      </w:tr>
    </w:tbl>
    <w:p w14:paraId="7E522CC1" w14:textId="47420774" w:rsidR="00CB412C" w:rsidRDefault="00CB412C" w:rsidP="00714D00">
      <w:pPr>
        <w:jc w:val="both"/>
        <w:rPr>
          <w:rFonts w:ascii="Times New Roman" w:hAnsi="Times New Roman" w:cs="Times New Roman"/>
        </w:rPr>
      </w:pPr>
    </w:p>
    <w:p w14:paraId="4B24D2E5" w14:textId="30BF88A9" w:rsidR="00CB0DF4" w:rsidRDefault="00CB0DF4" w:rsidP="00714D00">
      <w:pPr>
        <w:jc w:val="both"/>
        <w:rPr>
          <w:rFonts w:ascii="Times New Roman" w:hAnsi="Times New Roman" w:cs="Times New Roman"/>
        </w:rPr>
      </w:pPr>
      <w:r>
        <w:rPr>
          <w:rFonts w:ascii="Times New Roman" w:hAnsi="Times New Roman" w:cs="Times New Roman"/>
        </w:rPr>
        <w:t xml:space="preserve">Les marchés actions ont d’abord poursuivi leur hausse entamée en </w:t>
      </w:r>
      <w:r w:rsidR="00B8302F">
        <w:rPr>
          <w:rFonts w:ascii="Times New Roman" w:hAnsi="Times New Roman" w:cs="Times New Roman"/>
        </w:rPr>
        <w:t>2019 et ce jusqu’au 9 février 2020 où le MSCI WORLD a atteint 2.431 points avant de chuter à 1.651 points le 15/03/2020 ; soit une baisse de 32% en un peu plus d’un mois… Soit sa plus forte chute depuis la baisse d</w:t>
      </w:r>
      <w:r w:rsidR="006469FA">
        <w:rPr>
          <w:rFonts w:ascii="Times New Roman" w:hAnsi="Times New Roman" w:cs="Times New Roman"/>
        </w:rPr>
        <w:t>’</w:t>
      </w:r>
      <w:r w:rsidR="00B8302F">
        <w:rPr>
          <w:rFonts w:ascii="Times New Roman" w:hAnsi="Times New Roman" w:cs="Times New Roman"/>
        </w:rPr>
        <w:t>octobre 2007 à février 2009 où l’indice avait abandonné plus de 50% de sa valeur.</w:t>
      </w:r>
    </w:p>
    <w:p w14:paraId="1A400045" w14:textId="586E8EED" w:rsidR="00B8302F" w:rsidRDefault="00B8302F" w:rsidP="00714D00">
      <w:pPr>
        <w:jc w:val="both"/>
        <w:rPr>
          <w:rFonts w:ascii="Times New Roman" w:hAnsi="Times New Roman" w:cs="Times New Roman"/>
        </w:rPr>
      </w:pPr>
      <w:r>
        <w:rPr>
          <w:rFonts w:ascii="Times New Roman" w:hAnsi="Times New Roman" w:cs="Times New Roman"/>
        </w:rPr>
        <w:t>Après cette phase de « sidération », les actions ont commencé à reprendre de la vigueur avec les sorties de confinement des différents pays et, surtout, des injections massi</w:t>
      </w:r>
      <w:r w:rsidR="00CA08FB">
        <w:rPr>
          <w:rFonts w:ascii="Times New Roman" w:hAnsi="Times New Roman" w:cs="Times New Roman"/>
        </w:rPr>
        <w:t>ves</w:t>
      </w:r>
      <w:r>
        <w:rPr>
          <w:rFonts w:ascii="Times New Roman" w:hAnsi="Times New Roman" w:cs="Times New Roman"/>
        </w:rPr>
        <w:t xml:space="preserve"> de liquidités des Etats, en grande partie refinancées par les banques centrales.</w:t>
      </w:r>
    </w:p>
    <w:p w14:paraId="38487CC0" w14:textId="246DF3A4" w:rsidR="00B8302F" w:rsidRDefault="00B8302F" w:rsidP="00714D00">
      <w:pPr>
        <w:jc w:val="both"/>
        <w:rPr>
          <w:rFonts w:ascii="Times New Roman" w:hAnsi="Times New Roman" w:cs="Times New Roman"/>
        </w:rPr>
      </w:pPr>
      <w:r>
        <w:rPr>
          <w:rFonts w:ascii="Times New Roman" w:hAnsi="Times New Roman" w:cs="Times New Roman"/>
        </w:rPr>
        <w:t xml:space="preserve">A titre d’exemple, l’effort de la France pour 2020 est actuellement évalué à 178 milliards d’euros, à comparer </w:t>
      </w:r>
      <w:r w:rsidR="00CA08FB">
        <w:rPr>
          <w:rFonts w:ascii="Times New Roman" w:hAnsi="Times New Roman" w:cs="Times New Roman"/>
        </w:rPr>
        <w:t>aux 2.425 milliards du PIB 2019 ; soit un effort global de 7,3% du PIB.</w:t>
      </w:r>
    </w:p>
    <w:p w14:paraId="29289061" w14:textId="00CD3FBA" w:rsidR="00CA08FB" w:rsidRDefault="00CA08FB" w:rsidP="00714D00">
      <w:pPr>
        <w:jc w:val="both"/>
        <w:rPr>
          <w:rFonts w:ascii="Times New Roman" w:hAnsi="Times New Roman" w:cs="Times New Roman"/>
        </w:rPr>
      </w:pPr>
      <w:r>
        <w:rPr>
          <w:rFonts w:ascii="Times New Roman" w:hAnsi="Times New Roman" w:cs="Times New Roman"/>
        </w:rPr>
        <w:t xml:space="preserve">Les marchés en ont donc déduit que, même si toute une partie de l’économie restait sinistrée, la grande majorité des entreprises allaient passer cette crise sans trop d’incidence sur leur structure financière ; là où les </w:t>
      </w:r>
      <w:r w:rsidR="006469FA">
        <w:rPr>
          <w:rFonts w:ascii="Times New Roman" w:hAnsi="Times New Roman" w:cs="Times New Roman"/>
        </w:rPr>
        <w:t>entreprises auraient dû réaliser nettement moins de bénéfices, voire des pertes, on va probablement s’apercevoir que les résultats 2020 auront plutôt bien résisté.</w:t>
      </w:r>
    </w:p>
    <w:p w14:paraId="5D1285EE" w14:textId="43EDA239" w:rsidR="006469FA" w:rsidRDefault="006469FA" w:rsidP="00714D00">
      <w:pPr>
        <w:jc w:val="both"/>
        <w:rPr>
          <w:rFonts w:ascii="Times New Roman" w:hAnsi="Times New Roman" w:cs="Times New Roman"/>
        </w:rPr>
      </w:pPr>
      <w:r>
        <w:rPr>
          <w:rFonts w:ascii="Times New Roman" w:hAnsi="Times New Roman" w:cs="Times New Roman"/>
        </w:rPr>
        <w:t>On voit aussi qu’un certain nombre d’entreprises auront bénéficié très largement de cette crise et notamment les fameuses GAFAM auxquelles on peut désormais rajouter un T pour… TESLA.</w:t>
      </w:r>
    </w:p>
    <w:p w14:paraId="0E753BA1" w14:textId="6FDD49DE" w:rsidR="006469FA" w:rsidRDefault="006469FA" w:rsidP="00714D00">
      <w:pPr>
        <w:jc w:val="both"/>
        <w:rPr>
          <w:rFonts w:ascii="Times New Roman" w:hAnsi="Times New Roman" w:cs="Times New Roman"/>
        </w:rPr>
      </w:pPr>
      <w:r>
        <w:rPr>
          <w:rFonts w:ascii="Times New Roman" w:hAnsi="Times New Roman" w:cs="Times New Roman"/>
        </w:rPr>
        <w:t>C’est ce qui explique la hausse spectaculaire de l’indice S&amp;P 500 dont l’essentiel de la progression provient de ces entreprises technologiques.</w:t>
      </w:r>
    </w:p>
    <w:p w14:paraId="1767CA3A" w14:textId="0B173190" w:rsidR="007A53E6" w:rsidRDefault="007A53E6" w:rsidP="00714D00">
      <w:pPr>
        <w:jc w:val="both"/>
        <w:rPr>
          <w:rFonts w:ascii="Times New Roman" w:hAnsi="Times New Roman" w:cs="Times New Roman"/>
        </w:rPr>
      </w:pPr>
      <w:r>
        <w:rPr>
          <w:rFonts w:ascii="Times New Roman" w:hAnsi="Times New Roman" w:cs="Times New Roman"/>
        </w:rPr>
        <w:t>A l’inverse, les indices européens n’ont pas profité de cet engouement pour les valeurs technologiques et les principaux indices sont en baisse ; avec toutefois une grande disparité entre les valeurs de croissance qui ont nettement progressé tandis que les valeurs « value » ont poursuivi leur descente aux enfers avec, notamment, des taux toujours plus bas pénalisant les banques et la chute du pétrole entraînant à la baisse toutes les entreprises du secteur.</w:t>
      </w:r>
    </w:p>
    <w:p w14:paraId="44366ED2" w14:textId="3B132F70" w:rsidR="00CB0DF4" w:rsidRDefault="002E2EF9" w:rsidP="00714D00">
      <w:pPr>
        <w:jc w:val="both"/>
        <w:rPr>
          <w:noProof/>
        </w:rPr>
      </w:pPr>
      <w:r>
        <w:rPr>
          <w:rFonts w:ascii="Times New Roman" w:hAnsi="Times New Roman" w:cs="Times New Roman"/>
        </w:rPr>
        <w:t>Le grand gagnant de cette crise, paradoxalement, est la CHINE qui arrive à une croissance de 2% pour l’année 2020 et devrait voir un chiffre de près de 8%</w:t>
      </w:r>
      <w:r w:rsidR="0097144B">
        <w:rPr>
          <w:rFonts w:ascii="Times New Roman" w:hAnsi="Times New Roman" w:cs="Times New Roman"/>
        </w:rPr>
        <w:t xml:space="preserve"> pour 2021</w:t>
      </w:r>
      <w:r>
        <w:rPr>
          <w:rFonts w:ascii="Times New Roman" w:hAnsi="Times New Roman" w:cs="Times New Roman"/>
        </w:rPr>
        <w:t>, selon les chiffres donnés par la Banque Mondiale et repris par DNCA dans le tableau suivant :</w:t>
      </w:r>
    </w:p>
    <w:p w14:paraId="2E4A0E97" w14:textId="190732D9" w:rsidR="00CB0DF4" w:rsidRDefault="00CB0DF4" w:rsidP="00CB0DF4">
      <w:pPr>
        <w:ind w:left="708"/>
        <w:jc w:val="both"/>
        <w:rPr>
          <w:rFonts w:ascii="Times New Roman" w:hAnsi="Times New Roman" w:cs="Times New Roman"/>
        </w:rPr>
      </w:pPr>
      <w:r>
        <w:rPr>
          <w:noProof/>
          <w:lang w:eastAsia="fr-FR"/>
        </w:rPr>
        <w:lastRenderedPageBreak/>
        <w:drawing>
          <wp:inline distT="0" distB="0" distL="0" distR="0" wp14:anchorId="6A5A41DF" wp14:editId="052A6A70">
            <wp:extent cx="4876800" cy="25373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815" t="30570" r="23677" b="22630"/>
                    <a:stretch/>
                  </pic:blipFill>
                  <pic:spPr bwMode="auto">
                    <a:xfrm>
                      <a:off x="0" y="0"/>
                      <a:ext cx="4914166" cy="2556821"/>
                    </a:xfrm>
                    <a:prstGeom prst="rect">
                      <a:avLst/>
                    </a:prstGeom>
                    <a:ln>
                      <a:noFill/>
                    </a:ln>
                    <a:extLst>
                      <a:ext uri="{53640926-AAD7-44D8-BBD7-CCE9431645EC}">
                        <a14:shadowObscured xmlns:a14="http://schemas.microsoft.com/office/drawing/2010/main"/>
                      </a:ext>
                    </a:extLst>
                  </pic:spPr>
                </pic:pic>
              </a:graphicData>
            </a:graphic>
          </wp:inline>
        </w:drawing>
      </w:r>
    </w:p>
    <w:p w14:paraId="66C783A3" w14:textId="4449FAE8" w:rsidR="00C163D3" w:rsidRPr="00FA706B" w:rsidRDefault="00C163D3" w:rsidP="00835672">
      <w:pPr>
        <w:jc w:val="both"/>
        <w:rPr>
          <w:rFonts w:ascii="Times New Roman" w:hAnsi="Times New Roman" w:cs="Times New Roman"/>
          <w:b/>
          <w:bCs/>
          <w:u w:val="single"/>
        </w:rPr>
      </w:pPr>
      <w:r w:rsidRPr="00FA706B">
        <w:rPr>
          <w:rFonts w:ascii="Times New Roman" w:hAnsi="Times New Roman" w:cs="Times New Roman"/>
          <w:b/>
          <w:bCs/>
          <w:u w:val="single"/>
        </w:rPr>
        <w:t>Perspectives des marchés financiers pour 202</w:t>
      </w:r>
      <w:r w:rsidR="00FA706B" w:rsidRPr="00FA706B">
        <w:rPr>
          <w:rFonts w:ascii="Times New Roman" w:hAnsi="Times New Roman" w:cs="Times New Roman"/>
          <w:b/>
          <w:bCs/>
          <w:u w:val="single"/>
        </w:rPr>
        <w:t>1</w:t>
      </w:r>
      <w:r w:rsidRPr="00FA706B">
        <w:rPr>
          <w:rFonts w:ascii="Times New Roman" w:hAnsi="Times New Roman" w:cs="Times New Roman"/>
          <w:b/>
          <w:bCs/>
          <w:u w:val="single"/>
        </w:rPr>
        <w:t> :</w:t>
      </w:r>
    </w:p>
    <w:p w14:paraId="4C2061F6" w14:textId="53F7C826" w:rsidR="00FA706B" w:rsidRDefault="00BF0890" w:rsidP="00BF0890">
      <w:pPr>
        <w:spacing w:line="240" w:lineRule="auto"/>
        <w:jc w:val="both"/>
        <w:rPr>
          <w:rFonts w:ascii="Times New Roman" w:hAnsi="Times New Roman" w:cs="Times New Roman"/>
        </w:rPr>
      </w:pPr>
      <w:r>
        <w:rPr>
          <w:rFonts w:ascii="Times New Roman" w:hAnsi="Times New Roman" w:cs="Times New Roman"/>
        </w:rPr>
        <w:t xml:space="preserve">Après une année 2020 hors norme, les sociétés de gestion se montrent prudentes pour l’année à venir. Plusieurs éléments positifs sont </w:t>
      </w:r>
      <w:r w:rsidR="008D3E8D">
        <w:rPr>
          <w:rFonts w:ascii="Times New Roman" w:hAnsi="Times New Roman" w:cs="Times New Roman"/>
        </w:rPr>
        <w:t xml:space="preserve">néanmoins </w:t>
      </w:r>
      <w:r>
        <w:rPr>
          <w:rFonts w:ascii="Times New Roman" w:hAnsi="Times New Roman" w:cs="Times New Roman"/>
        </w:rPr>
        <w:t>apparus ces dernières semaines :</w:t>
      </w:r>
    </w:p>
    <w:p w14:paraId="0AF64433" w14:textId="7A50C752" w:rsidR="00BF0890" w:rsidRDefault="00BF0890" w:rsidP="00BF0890">
      <w:pPr>
        <w:pStyle w:val="Paragraphedeliste"/>
        <w:numPr>
          <w:ilvl w:val="0"/>
          <w:numId w:val="7"/>
        </w:numPr>
        <w:spacing w:line="240" w:lineRule="auto"/>
        <w:jc w:val="both"/>
        <w:rPr>
          <w:rFonts w:ascii="Times New Roman" w:hAnsi="Times New Roman" w:cs="Times New Roman"/>
        </w:rPr>
      </w:pPr>
      <w:r>
        <w:rPr>
          <w:rFonts w:ascii="Times New Roman" w:hAnsi="Times New Roman" w:cs="Times New Roman"/>
        </w:rPr>
        <w:t>En 1</w:t>
      </w:r>
      <w:r w:rsidRPr="00BF0890">
        <w:rPr>
          <w:rFonts w:ascii="Times New Roman" w:hAnsi="Times New Roman" w:cs="Times New Roman"/>
          <w:vertAlign w:val="superscript"/>
        </w:rPr>
        <w:t>er</w:t>
      </w:r>
      <w:r>
        <w:rPr>
          <w:rFonts w:ascii="Times New Roman" w:hAnsi="Times New Roman" w:cs="Times New Roman"/>
        </w:rPr>
        <w:t xml:space="preserve"> lieu</w:t>
      </w:r>
      <w:r w:rsidR="008D3E8D">
        <w:rPr>
          <w:rFonts w:ascii="Times New Roman" w:hAnsi="Times New Roman" w:cs="Times New Roman"/>
        </w:rPr>
        <w:t>,</w:t>
      </w:r>
      <w:r>
        <w:rPr>
          <w:rFonts w:ascii="Times New Roman" w:hAnsi="Times New Roman" w:cs="Times New Roman"/>
        </w:rPr>
        <w:t xml:space="preserve"> bien-sûr</w:t>
      </w:r>
      <w:r w:rsidR="008D3E8D">
        <w:rPr>
          <w:rFonts w:ascii="Times New Roman" w:hAnsi="Times New Roman" w:cs="Times New Roman"/>
        </w:rPr>
        <w:t>,</w:t>
      </w:r>
      <w:r>
        <w:rPr>
          <w:rFonts w:ascii="Times New Roman" w:hAnsi="Times New Roman" w:cs="Times New Roman"/>
        </w:rPr>
        <w:t xml:space="preserve"> l’apparition de 2 vaccins efficaces et un nombre de personnes vaccinées qui pourrait atteindre 1,2 milliard</w:t>
      </w:r>
      <w:r w:rsidR="008D3E8D">
        <w:rPr>
          <w:rFonts w:ascii="Times New Roman" w:hAnsi="Times New Roman" w:cs="Times New Roman"/>
        </w:rPr>
        <w:t>s</w:t>
      </w:r>
      <w:r>
        <w:rPr>
          <w:rFonts w:ascii="Times New Roman" w:hAnsi="Times New Roman" w:cs="Times New Roman"/>
        </w:rPr>
        <w:t xml:space="preserve"> au cours du 1</w:t>
      </w:r>
      <w:r w:rsidRPr="00BF0890">
        <w:rPr>
          <w:rFonts w:ascii="Times New Roman" w:hAnsi="Times New Roman" w:cs="Times New Roman"/>
          <w:vertAlign w:val="superscript"/>
        </w:rPr>
        <w:t>er</w:t>
      </w:r>
      <w:r>
        <w:rPr>
          <w:rFonts w:ascii="Times New Roman" w:hAnsi="Times New Roman" w:cs="Times New Roman"/>
        </w:rPr>
        <w:t xml:space="preserve"> semestre</w:t>
      </w:r>
      <w:r w:rsidR="008D3E8D">
        <w:rPr>
          <w:rFonts w:ascii="Times New Roman" w:hAnsi="Times New Roman" w:cs="Times New Roman"/>
        </w:rPr>
        <w:t xml:space="preserve"> dans le monde</w:t>
      </w:r>
      <w:r>
        <w:rPr>
          <w:rFonts w:ascii="Times New Roman" w:hAnsi="Times New Roman" w:cs="Times New Roman"/>
        </w:rPr>
        <w:t> ;</w:t>
      </w:r>
    </w:p>
    <w:p w14:paraId="4B7E3A6E" w14:textId="47CC44FF" w:rsidR="00BF0890" w:rsidRDefault="00BF0890" w:rsidP="00BF0890">
      <w:pPr>
        <w:pStyle w:val="Paragraphedeliste"/>
        <w:numPr>
          <w:ilvl w:val="0"/>
          <w:numId w:val="7"/>
        </w:numPr>
        <w:spacing w:line="240" w:lineRule="auto"/>
        <w:jc w:val="both"/>
        <w:rPr>
          <w:rFonts w:ascii="Times New Roman" w:hAnsi="Times New Roman" w:cs="Times New Roman"/>
        </w:rPr>
      </w:pPr>
      <w:r>
        <w:rPr>
          <w:rFonts w:ascii="Times New Roman" w:hAnsi="Times New Roman" w:cs="Times New Roman"/>
        </w:rPr>
        <w:t>La levée de l’incertitude concernant la transition présidentielle aux USA ;</w:t>
      </w:r>
    </w:p>
    <w:p w14:paraId="5294EF56" w14:textId="74A0270C" w:rsidR="00BF0890" w:rsidRDefault="00BF0890" w:rsidP="00BF0890">
      <w:pPr>
        <w:pStyle w:val="Paragraphedeliste"/>
        <w:numPr>
          <w:ilvl w:val="0"/>
          <w:numId w:val="7"/>
        </w:numPr>
        <w:spacing w:line="240" w:lineRule="auto"/>
        <w:jc w:val="both"/>
        <w:rPr>
          <w:rFonts w:ascii="Times New Roman" w:hAnsi="Times New Roman" w:cs="Times New Roman"/>
        </w:rPr>
      </w:pPr>
      <w:r>
        <w:rPr>
          <w:rFonts w:ascii="Times New Roman" w:hAnsi="Times New Roman" w:cs="Times New Roman"/>
        </w:rPr>
        <w:t>La signature d’un deal avec le Royaume-Uni dans le cadre du BREXIT.</w:t>
      </w:r>
    </w:p>
    <w:p w14:paraId="3F06FCCF" w14:textId="24692DD5" w:rsidR="0079536E" w:rsidRDefault="0079536E" w:rsidP="0079536E">
      <w:pPr>
        <w:spacing w:line="240" w:lineRule="auto"/>
        <w:jc w:val="both"/>
        <w:rPr>
          <w:rFonts w:ascii="Times New Roman" w:hAnsi="Times New Roman" w:cs="Times New Roman"/>
        </w:rPr>
      </w:pPr>
      <w:r>
        <w:rPr>
          <w:rFonts w:ascii="Times New Roman" w:hAnsi="Times New Roman" w:cs="Times New Roman"/>
        </w:rPr>
        <w:t xml:space="preserve">En 2021, les plans </w:t>
      </w:r>
      <w:r w:rsidR="00472D8A">
        <w:rPr>
          <w:rFonts w:ascii="Times New Roman" w:hAnsi="Times New Roman" w:cs="Times New Roman"/>
        </w:rPr>
        <w:t>de relance</w:t>
      </w:r>
      <w:r>
        <w:rPr>
          <w:rFonts w:ascii="Times New Roman" w:hAnsi="Times New Roman" w:cs="Times New Roman"/>
        </w:rPr>
        <w:t xml:space="preserve"> de 750 milliards en Europe et </w:t>
      </w:r>
      <w:r w:rsidR="00472D8A">
        <w:rPr>
          <w:rFonts w:ascii="Times New Roman" w:hAnsi="Times New Roman" w:cs="Times New Roman"/>
        </w:rPr>
        <w:t xml:space="preserve">celui de </w:t>
      </w:r>
      <w:r w:rsidR="003607C8">
        <w:rPr>
          <w:rFonts w:ascii="Times New Roman" w:hAnsi="Times New Roman" w:cs="Times New Roman"/>
        </w:rPr>
        <w:t>1.900 milliards de dollars</w:t>
      </w:r>
      <w:r w:rsidR="00472D8A">
        <w:rPr>
          <w:rFonts w:ascii="Times New Roman" w:hAnsi="Times New Roman" w:cs="Times New Roman"/>
        </w:rPr>
        <w:t xml:space="preserve"> évoqué par le président BIDEN</w:t>
      </w:r>
      <w:r w:rsidR="003607C8">
        <w:rPr>
          <w:rFonts w:ascii="Times New Roman" w:hAnsi="Times New Roman" w:cs="Times New Roman"/>
        </w:rPr>
        <w:t xml:space="preserve"> (qui s’ajoute aux 950 milliards déjà votés par le congrès)</w:t>
      </w:r>
      <w:r w:rsidR="00472D8A">
        <w:rPr>
          <w:rFonts w:ascii="Times New Roman" w:hAnsi="Times New Roman" w:cs="Times New Roman"/>
        </w:rPr>
        <w:t xml:space="preserve"> vont, indiscutablement, être les moteurs de la reprise mondiale, avec la croissance </w:t>
      </w:r>
      <w:r w:rsidR="003607C8">
        <w:rPr>
          <w:rFonts w:ascii="Times New Roman" w:hAnsi="Times New Roman" w:cs="Times New Roman"/>
        </w:rPr>
        <w:t xml:space="preserve">des USA mais aussi </w:t>
      </w:r>
      <w:r w:rsidR="00472D8A">
        <w:rPr>
          <w:rFonts w:ascii="Times New Roman" w:hAnsi="Times New Roman" w:cs="Times New Roman"/>
        </w:rPr>
        <w:t>des pays asiatiques et de la Chine en particulier.</w:t>
      </w:r>
    </w:p>
    <w:p w14:paraId="57DE4FBA" w14:textId="27B40300" w:rsidR="003607C8" w:rsidRDefault="003607C8" w:rsidP="0079536E">
      <w:pPr>
        <w:spacing w:line="240" w:lineRule="auto"/>
        <w:jc w:val="both"/>
        <w:rPr>
          <w:rFonts w:ascii="Times New Roman" w:hAnsi="Times New Roman" w:cs="Times New Roman"/>
        </w:rPr>
      </w:pPr>
      <w:r>
        <w:rPr>
          <w:rFonts w:ascii="Times New Roman" w:hAnsi="Times New Roman" w:cs="Times New Roman"/>
        </w:rPr>
        <w:t>L’économiste Jean-Pierre PETIT confirmait d’ailleurs encore ce matin qu’il voyait une reprise importante de l’économie aux USA à partir su second trimestre 2021, grâce à ces plans de relance et au bon avancement de la vaccination dans ce pays.</w:t>
      </w:r>
    </w:p>
    <w:p w14:paraId="69B50E68" w14:textId="57BD3E08" w:rsidR="00472D8A" w:rsidRDefault="00472D8A" w:rsidP="0079536E">
      <w:pPr>
        <w:spacing w:line="240" w:lineRule="auto"/>
        <w:jc w:val="both"/>
        <w:rPr>
          <w:rFonts w:ascii="Times New Roman" w:hAnsi="Times New Roman" w:cs="Times New Roman"/>
        </w:rPr>
      </w:pPr>
      <w:r>
        <w:rPr>
          <w:rFonts w:ascii="Times New Roman" w:hAnsi="Times New Roman" w:cs="Times New Roman"/>
        </w:rPr>
        <w:t>A ces sommes considérables, il faut aussi ajouter les sommes qui ont été épargnées par les particuliers en Europe et aux USA, faute de pouvoir les dépenser en 2020, et qui pourraient doper la consommation, plutôt dans une seconde partie de l’année, si toutefois la pandémie reflue significativement et que l’ensemble des activités encore à l’arrêt aujourd’hui p</w:t>
      </w:r>
      <w:r w:rsidR="008D3E8D">
        <w:rPr>
          <w:rFonts w:ascii="Times New Roman" w:hAnsi="Times New Roman" w:cs="Times New Roman"/>
        </w:rPr>
        <w:t>euv</w:t>
      </w:r>
      <w:r>
        <w:rPr>
          <w:rFonts w:ascii="Times New Roman" w:hAnsi="Times New Roman" w:cs="Times New Roman"/>
        </w:rPr>
        <w:t>ent rouvrir normalement et sans contrainte.</w:t>
      </w:r>
    </w:p>
    <w:p w14:paraId="329D177F" w14:textId="2F6A9C61" w:rsidR="00472D8A" w:rsidRDefault="00472D8A" w:rsidP="0079536E">
      <w:pPr>
        <w:spacing w:line="240" w:lineRule="auto"/>
        <w:jc w:val="both"/>
        <w:rPr>
          <w:rFonts w:ascii="Times New Roman" w:hAnsi="Times New Roman" w:cs="Times New Roman"/>
        </w:rPr>
      </w:pPr>
      <w:r>
        <w:rPr>
          <w:rFonts w:ascii="Times New Roman" w:hAnsi="Times New Roman" w:cs="Times New Roman"/>
        </w:rPr>
        <w:t>Dans le même temps, les sociétés de gestion continuent à anticiper des taux maintenus très bas par les banques centrales ; 0% pour la BCE et 0,25% pour la FED. Ces taux très bas sont favorables aux marchés actions et immobiliers, tandis qu’ils ont provoqué une véritable bulle obligataire dont il sera difficile de sortir sans conséquence pour les investisseurs et pour les Etats surendettés comme la France ou l’Italie.</w:t>
      </w:r>
    </w:p>
    <w:p w14:paraId="27FE1227" w14:textId="51BD8EC6" w:rsidR="00472D8A" w:rsidRPr="0079536E" w:rsidRDefault="00472D8A" w:rsidP="0079536E">
      <w:pPr>
        <w:spacing w:line="240" w:lineRule="auto"/>
        <w:jc w:val="both"/>
        <w:rPr>
          <w:rFonts w:ascii="Times New Roman" w:hAnsi="Times New Roman" w:cs="Times New Roman"/>
        </w:rPr>
      </w:pPr>
      <w:r>
        <w:rPr>
          <w:rFonts w:ascii="Times New Roman" w:hAnsi="Times New Roman" w:cs="Times New Roman"/>
        </w:rPr>
        <w:t>Le thème de l’inflation commence</w:t>
      </w:r>
      <w:r w:rsidR="008D3E8D">
        <w:rPr>
          <w:rFonts w:ascii="Times New Roman" w:hAnsi="Times New Roman" w:cs="Times New Roman"/>
        </w:rPr>
        <w:t>, par ailleurs,</w:t>
      </w:r>
      <w:r>
        <w:rPr>
          <w:rFonts w:ascii="Times New Roman" w:hAnsi="Times New Roman" w:cs="Times New Roman"/>
        </w:rPr>
        <w:t xml:space="preserve"> à refaire surface, notamment du fait de la hausse des matières premières et des coûts de production en Chine</w:t>
      </w:r>
      <w:r w:rsidR="00986C88">
        <w:rPr>
          <w:rFonts w:ascii="Times New Roman" w:hAnsi="Times New Roman" w:cs="Times New Roman"/>
        </w:rPr>
        <w:t>, conséquence de la hausse des salaires dans ce pays ; la Chine ayant un solde commercial considérable, plus de 500 milliards de dollars pour 2020, soit presqu’autant qu’en 2016, elle provoque de l’inflation dans les pays importateurs comme les USA</w:t>
      </w:r>
      <w:r w:rsidR="008D3E8D">
        <w:rPr>
          <w:rFonts w:ascii="Times New Roman" w:hAnsi="Times New Roman" w:cs="Times New Roman"/>
        </w:rPr>
        <w:t>,</w:t>
      </w:r>
      <w:r w:rsidR="00986C88">
        <w:rPr>
          <w:rFonts w:ascii="Times New Roman" w:hAnsi="Times New Roman" w:cs="Times New Roman"/>
        </w:rPr>
        <w:t xml:space="preserve"> notamment. C’est peut-être ce qui explique la progression </w:t>
      </w:r>
      <w:r w:rsidR="00F10836">
        <w:rPr>
          <w:rFonts w:ascii="Times New Roman" w:hAnsi="Times New Roman" w:cs="Times New Roman"/>
        </w:rPr>
        <w:t>récente des taux des emprunts d’Etat à 10 ans aux USA : 1,08% contre 0,5% en milieu d’année 2020. Ils n’ont pas encore retrouvé leur niveau d’avant crise (de l’ordre de 1,9%) mais on peut penser qu’ils en prennent le chemin.</w:t>
      </w:r>
    </w:p>
    <w:p w14:paraId="3C84E85F" w14:textId="368C64A5" w:rsidR="00584B3A" w:rsidRDefault="008D3E8D" w:rsidP="00962C08">
      <w:pPr>
        <w:spacing w:line="240" w:lineRule="auto"/>
        <w:jc w:val="both"/>
        <w:rPr>
          <w:rFonts w:ascii="Times New Roman" w:hAnsi="Times New Roman" w:cs="Times New Roman"/>
        </w:rPr>
      </w:pPr>
      <w:r>
        <w:rPr>
          <w:rFonts w:ascii="Times New Roman" w:hAnsi="Times New Roman" w:cs="Times New Roman"/>
        </w:rPr>
        <w:t xml:space="preserve">Ces perspectives globalement positives ont amené les grands indices actions à des niveaux </w:t>
      </w:r>
      <w:r w:rsidR="0041627E">
        <w:rPr>
          <w:rFonts w:ascii="Times New Roman" w:hAnsi="Times New Roman" w:cs="Times New Roman"/>
        </w:rPr>
        <w:t>vraisemblablement</w:t>
      </w:r>
      <w:r>
        <w:rPr>
          <w:rFonts w:ascii="Times New Roman" w:hAnsi="Times New Roman" w:cs="Times New Roman"/>
        </w:rPr>
        <w:t xml:space="preserve"> surévalués, a priori, comme le montre le graphique </w:t>
      </w:r>
      <w:r w:rsidR="00584B3A">
        <w:rPr>
          <w:rFonts w:ascii="Times New Roman" w:hAnsi="Times New Roman" w:cs="Times New Roman"/>
        </w:rPr>
        <w:t xml:space="preserve">ci-dessous. Il faut toutefois tenir compte du fait que, dans ces indices, des entreprises sont très fortement évaluées, comme les entreprises </w:t>
      </w:r>
      <w:r w:rsidR="00584B3A">
        <w:rPr>
          <w:rFonts w:ascii="Times New Roman" w:hAnsi="Times New Roman" w:cs="Times New Roman"/>
        </w:rPr>
        <w:lastRenderedPageBreak/>
        <w:t xml:space="preserve">technologiques évoquées plus haut, parfois à raison mais peut-être pas toujours ; alors que d’autres sont très faiblement valorisées. Globalement, on constate, par exemple, que le CAC 40 n’est pas beaucoup plus haut qu’en avril 2015 et qu’il est encore </w:t>
      </w:r>
      <w:r w:rsidR="003607C8">
        <w:rPr>
          <w:rFonts w:ascii="Times New Roman" w:hAnsi="Times New Roman" w:cs="Times New Roman"/>
        </w:rPr>
        <w:t xml:space="preserve">relativement </w:t>
      </w:r>
      <w:r w:rsidR="00584B3A">
        <w:rPr>
          <w:rFonts w:ascii="Times New Roman" w:hAnsi="Times New Roman" w:cs="Times New Roman"/>
        </w:rPr>
        <w:t xml:space="preserve">loin de ses niveaux de 2007 et plus encore de </w:t>
      </w:r>
      <w:r w:rsidR="003607C8">
        <w:rPr>
          <w:rFonts w:ascii="Times New Roman" w:hAnsi="Times New Roman" w:cs="Times New Roman"/>
        </w:rPr>
        <w:t xml:space="preserve">ceux de </w:t>
      </w:r>
      <w:r w:rsidR="00584B3A">
        <w:rPr>
          <w:rFonts w:ascii="Times New Roman" w:hAnsi="Times New Roman" w:cs="Times New Roman"/>
        </w:rPr>
        <w:t>2000.</w:t>
      </w:r>
    </w:p>
    <w:p w14:paraId="38766A79" w14:textId="44E3FD5C" w:rsidR="008D3E8D" w:rsidRPr="00BF0890" w:rsidRDefault="00584B3A" w:rsidP="00584B3A">
      <w:pPr>
        <w:spacing w:line="240" w:lineRule="auto"/>
        <w:ind w:left="1416"/>
        <w:jc w:val="both"/>
        <w:rPr>
          <w:rFonts w:ascii="Times New Roman" w:hAnsi="Times New Roman" w:cs="Times New Roman"/>
        </w:rPr>
      </w:pPr>
      <w:r>
        <w:rPr>
          <w:noProof/>
          <w:lang w:eastAsia="fr-FR"/>
        </w:rPr>
        <w:drawing>
          <wp:inline distT="0" distB="0" distL="0" distR="0" wp14:anchorId="73AE346C" wp14:editId="1F10BDA4">
            <wp:extent cx="3931920" cy="2894562"/>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683" t="27278" r="29233" b="32040"/>
                    <a:stretch/>
                  </pic:blipFill>
                  <pic:spPr bwMode="auto">
                    <a:xfrm>
                      <a:off x="0" y="0"/>
                      <a:ext cx="3941690" cy="2901755"/>
                    </a:xfrm>
                    <a:prstGeom prst="rect">
                      <a:avLst/>
                    </a:prstGeom>
                    <a:ln>
                      <a:noFill/>
                    </a:ln>
                    <a:extLst>
                      <a:ext uri="{53640926-AAD7-44D8-BBD7-CCE9431645EC}">
                        <a14:shadowObscured xmlns:a14="http://schemas.microsoft.com/office/drawing/2010/main"/>
                      </a:ext>
                    </a:extLst>
                  </pic:spPr>
                </pic:pic>
              </a:graphicData>
            </a:graphic>
          </wp:inline>
        </w:drawing>
      </w:r>
    </w:p>
    <w:p w14:paraId="657EE668" w14:textId="44644DC2" w:rsidR="00FA706B" w:rsidRDefault="00584B3A" w:rsidP="00962C08">
      <w:pPr>
        <w:spacing w:line="240" w:lineRule="auto"/>
        <w:jc w:val="both"/>
        <w:rPr>
          <w:rFonts w:ascii="Times New Roman" w:hAnsi="Times New Roman" w:cs="Times New Roman"/>
        </w:rPr>
      </w:pPr>
      <w:r>
        <w:rPr>
          <w:rFonts w:ascii="Times New Roman" w:hAnsi="Times New Roman" w:cs="Times New Roman"/>
        </w:rPr>
        <w:t xml:space="preserve">Les investisseurs vont </w:t>
      </w:r>
      <w:r w:rsidR="0041627E">
        <w:rPr>
          <w:rFonts w:ascii="Times New Roman" w:hAnsi="Times New Roman" w:cs="Times New Roman"/>
        </w:rPr>
        <w:t xml:space="preserve">donc </w:t>
      </w:r>
      <w:r>
        <w:rPr>
          <w:rFonts w:ascii="Times New Roman" w:hAnsi="Times New Roman" w:cs="Times New Roman"/>
        </w:rPr>
        <w:t>devoir faire preuve d’une grande sélectivité dans le choix des entreprises pour éviter d’acquérir des sociétés trop valorisées. Plus que jamais, la gestion active devrait montrer sa raison d’être face à la gestion indicielle qui ne permet aucune sélectivité.</w:t>
      </w:r>
    </w:p>
    <w:p w14:paraId="169B9865" w14:textId="5707EC5C" w:rsidR="00584B3A" w:rsidRDefault="00584B3A" w:rsidP="00962C08">
      <w:pPr>
        <w:spacing w:line="240" w:lineRule="auto"/>
        <w:jc w:val="both"/>
        <w:rPr>
          <w:rFonts w:ascii="Times New Roman" w:hAnsi="Times New Roman" w:cs="Times New Roman"/>
        </w:rPr>
      </w:pPr>
      <w:r>
        <w:rPr>
          <w:rFonts w:ascii="Times New Roman" w:hAnsi="Times New Roman" w:cs="Times New Roman"/>
        </w:rPr>
        <w:t>En ce qui concerne les styles de gestion « croissance » ou « value », il semblerait raisonnable de continuer à investir sur ces deux thématiques simultanément. La gestion « croissance » devrait, en principe, donner de meilleurs résultats sur le long terme mais la gestion « value » pourrait finir par retrouver des couleurs comme c’est le cas depuis le début du mois de novembre.</w:t>
      </w:r>
    </w:p>
    <w:p w14:paraId="660359F0" w14:textId="326410E8" w:rsidR="0041627E" w:rsidRPr="00BF0890" w:rsidRDefault="0041627E" w:rsidP="00962C08">
      <w:pPr>
        <w:spacing w:line="240" w:lineRule="auto"/>
        <w:jc w:val="both"/>
        <w:rPr>
          <w:rFonts w:ascii="Times New Roman" w:hAnsi="Times New Roman" w:cs="Times New Roman"/>
        </w:rPr>
      </w:pPr>
      <w:r>
        <w:rPr>
          <w:rFonts w:ascii="Times New Roman" w:hAnsi="Times New Roman" w:cs="Times New Roman"/>
        </w:rPr>
        <w:t>A noter que la gestion «value » consiste à essayer de détecter des actions sous-évaluées mais qui ont le potentiel de devenir des valeurs de croissance ou qui le sont déjà, même si les marchés ne les valorisent pas comme telles.</w:t>
      </w:r>
    </w:p>
    <w:p w14:paraId="546267C5" w14:textId="77777777" w:rsidR="003607C8" w:rsidRDefault="003607C8" w:rsidP="00E31BAF">
      <w:pPr>
        <w:jc w:val="both"/>
        <w:rPr>
          <w:rFonts w:ascii="Times New Roman" w:hAnsi="Times New Roman" w:cs="Times New Roman"/>
          <w:b/>
          <w:bCs/>
          <w:u w:val="single"/>
        </w:rPr>
      </w:pPr>
    </w:p>
    <w:p w14:paraId="5F3833FC" w14:textId="485DDFE0" w:rsidR="00E31BAF" w:rsidRPr="009067E2" w:rsidRDefault="00E31BAF" w:rsidP="00E31BAF">
      <w:pPr>
        <w:jc w:val="both"/>
        <w:rPr>
          <w:rFonts w:ascii="Times New Roman" w:hAnsi="Times New Roman" w:cs="Times New Roman"/>
          <w:b/>
          <w:bCs/>
          <w:u w:val="single"/>
        </w:rPr>
      </w:pPr>
      <w:r w:rsidRPr="009067E2">
        <w:rPr>
          <w:rFonts w:ascii="Times New Roman" w:hAnsi="Times New Roman" w:cs="Times New Roman"/>
          <w:b/>
          <w:bCs/>
          <w:u w:val="single"/>
        </w:rPr>
        <w:t>L’immobilier d’entreprise :</w:t>
      </w:r>
    </w:p>
    <w:p w14:paraId="23C319A1" w14:textId="5337CA75" w:rsidR="009067E2" w:rsidRDefault="009067E2" w:rsidP="009067E2">
      <w:pPr>
        <w:spacing w:line="240" w:lineRule="auto"/>
        <w:jc w:val="both"/>
        <w:rPr>
          <w:rFonts w:ascii="Times New Roman" w:hAnsi="Times New Roman" w:cs="Times New Roman"/>
        </w:rPr>
      </w:pPr>
      <w:r>
        <w:rPr>
          <w:rFonts w:ascii="Times New Roman" w:hAnsi="Times New Roman" w:cs="Times New Roman"/>
        </w:rPr>
        <w:t>Le secteur de l’immobilier d’entreprise a également été mis à rude épreuve en 2020 avec la crainte de nombreuses faillites d’entreprises ; finalement, en dehors des SCPI spécialisées dans le commerce ou dans l’hôtellerie (particulièrement l’hôtellerie de tourisme ou haut de gamme), les rendements devraient être relativement bons cette année dans l’ensemble du marché.</w:t>
      </w:r>
    </w:p>
    <w:p w14:paraId="1E5EC34C" w14:textId="70577BA8" w:rsidR="009067E2" w:rsidRDefault="009067E2" w:rsidP="009067E2">
      <w:pPr>
        <w:spacing w:line="240" w:lineRule="auto"/>
        <w:jc w:val="both"/>
        <w:rPr>
          <w:rFonts w:ascii="Times New Roman" w:hAnsi="Times New Roman" w:cs="Times New Roman"/>
        </w:rPr>
      </w:pPr>
      <w:r>
        <w:rPr>
          <w:rFonts w:ascii="Times New Roman" w:hAnsi="Times New Roman" w:cs="Times New Roman"/>
        </w:rPr>
        <w:t>A fin septembre 2020, sur un an glissant, le rendement moyen des SCPI était de 4,2% contre 4,4% en 2019. Les SCPI ont donc fait preuve d’une très grande résistance.</w:t>
      </w:r>
    </w:p>
    <w:p w14:paraId="672FD9E9" w14:textId="51B6C100" w:rsidR="009067E2" w:rsidRDefault="009067E2" w:rsidP="009067E2">
      <w:pPr>
        <w:spacing w:line="240" w:lineRule="auto"/>
        <w:jc w:val="both"/>
        <w:rPr>
          <w:rFonts w:ascii="Times New Roman" w:hAnsi="Times New Roman" w:cs="Times New Roman"/>
        </w:rPr>
      </w:pPr>
      <w:r>
        <w:rPr>
          <w:rFonts w:ascii="Times New Roman" w:hAnsi="Times New Roman" w:cs="Times New Roman"/>
        </w:rPr>
        <w:t>En ce qui concerne les valorisations des immeubles, et par conséquent des SCPI, les sociétés de gestion ne se prononcent pas pour le moment</w:t>
      </w:r>
      <w:r w:rsidR="003607C8">
        <w:rPr>
          <w:rFonts w:ascii="Times New Roman" w:hAnsi="Times New Roman" w:cs="Times New Roman"/>
        </w:rPr>
        <w:t> ; CORUM indique qu’il n’y aura pas de revalorisation des parts cette année ; seules certaines SCPI, plutôt investies en région parisienne, par exemple, pourraient remonter le prix d’achat de leur part, parfois en retard sur l</w:t>
      </w:r>
      <w:r w:rsidR="00242069">
        <w:rPr>
          <w:rFonts w:ascii="Times New Roman" w:hAnsi="Times New Roman" w:cs="Times New Roman"/>
        </w:rPr>
        <w:t>eur</w:t>
      </w:r>
      <w:r w:rsidR="003607C8">
        <w:rPr>
          <w:rFonts w:ascii="Times New Roman" w:hAnsi="Times New Roman" w:cs="Times New Roman"/>
        </w:rPr>
        <w:t xml:space="preserve"> « valeur de reconstitution ».</w:t>
      </w:r>
    </w:p>
    <w:p w14:paraId="1E31BEF6" w14:textId="77777777" w:rsidR="003607C8" w:rsidRDefault="003607C8" w:rsidP="009067E2">
      <w:pPr>
        <w:spacing w:line="240" w:lineRule="auto"/>
        <w:jc w:val="both"/>
        <w:rPr>
          <w:rFonts w:ascii="Times New Roman" w:hAnsi="Times New Roman" w:cs="Times New Roman"/>
        </w:rPr>
      </w:pPr>
      <w:r>
        <w:rPr>
          <w:rFonts w:ascii="Times New Roman" w:hAnsi="Times New Roman" w:cs="Times New Roman"/>
        </w:rPr>
        <w:t xml:space="preserve">Si l’emplacement reste un critère majeur dans l’appréciation à long-terme de la SCPI, CORUM affirme que c’est essentiellement la solidité du locataire, et la durée du bail, qui sont le plus important. La vérité se situe probablement entre les deux : l’objectif est, en effet, de trouver des locataires très solides </w:t>
      </w:r>
      <w:r>
        <w:rPr>
          <w:rFonts w:ascii="Times New Roman" w:hAnsi="Times New Roman" w:cs="Times New Roman"/>
        </w:rPr>
        <w:lastRenderedPageBreak/>
        <w:t>financièrement, avec des durées de location les plus élevées possibles mais aussi de miser sur des immeubles qui pourraient facilement trouver un nouveau locataire en cas de besoin.</w:t>
      </w:r>
    </w:p>
    <w:p w14:paraId="75FE97A2" w14:textId="77777777" w:rsidR="003607C8" w:rsidRDefault="003607C8" w:rsidP="009067E2">
      <w:pPr>
        <w:spacing w:line="240" w:lineRule="auto"/>
        <w:jc w:val="both"/>
        <w:rPr>
          <w:rFonts w:ascii="Times New Roman" w:hAnsi="Times New Roman" w:cs="Times New Roman"/>
        </w:rPr>
      </w:pPr>
      <w:r>
        <w:rPr>
          <w:rFonts w:ascii="Times New Roman" w:hAnsi="Times New Roman" w:cs="Times New Roman"/>
        </w:rPr>
        <w:t>Beaucoup de questions se posent sur le télétravail et la réduction des besoins de surfaces de bureaux ; mais, parallèlement, les sociétés de gestion constatent que les locataires réclament des bâtiments plus spacieux et donc plus attractifs pour leurs salariés qui se préoccupent de plus en plus de leur bien-être au travail. Il est très difficile de dire si ces deux effets contraires vont s’annuler ou non et comment évoluera le marché au cours des prochaines années ; quoi qu’il en soit, le taux de vacance à Paris, par exemple, est à un plus bas historique et pratiquement incompressible.</w:t>
      </w:r>
    </w:p>
    <w:p w14:paraId="5F6E9852" w14:textId="5AEFCE2F" w:rsidR="003607C8" w:rsidRDefault="003607C8" w:rsidP="009067E2">
      <w:pPr>
        <w:spacing w:line="240" w:lineRule="auto"/>
        <w:jc w:val="both"/>
        <w:rPr>
          <w:rFonts w:ascii="Times New Roman" w:hAnsi="Times New Roman" w:cs="Times New Roman"/>
        </w:rPr>
      </w:pPr>
      <w:r>
        <w:rPr>
          <w:rFonts w:ascii="Times New Roman" w:hAnsi="Times New Roman" w:cs="Times New Roman"/>
        </w:rPr>
        <w:t>Une moindre demande de bureaux conduirait à un relèvement de ce taux de vacance mais l’incidence sur les rendements des SCPI concernées serait assez limitée ; pour les SCPI investies en région parisienne ou en province, cette incidence pourrait être plus élevée et les bureaux qui correspondent le moins aux attentes du marché seront certainement plus difficiles à louer.</w:t>
      </w:r>
    </w:p>
    <w:p w14:paraId="51AE828D" w14:textId="62401126" w:rsidR="003607C8" w:rsidRPr="009067E2" w:rsidRDefault="003607C8" w:rsidP="009067E2">
      <w:pPr>
        <w:spacing w:line="240" w:lineRule="auto"/>
        <w:jc w:val="both"/>
        <w:rPr>
          <w:rFonts w:ascii="Times New Roman" w:hAnsi="Times New Roman" w:cs="Times New Roman"/>
        </w:rPr>
      </w:pPr>
      <w:r>
        <w:rPr>
          <w:rFonts w:ascii="Times New Roman" w:hAnsi="Times New Roman" w:cs="Times New Roman"/>
        </w:rPr>
        <w:t>En ce qui concerne les murs de commerce, les SCPI ont été amenées à négocier avec les commerces dits « non-essentiels » ; dans la plupart des cas, il s’est agi de report ou d’étalement de loyers et, beaucoup plus rarement, d’annulations. Pour les SCPI diversifiées, l’incidence reste donc relativement faible ; par exemple la SCPI Vendôme Régions, qui compte 18% de murs de commerce, va délivrer 6% de rendement pour l’année 2020, conformément à son objectif.</w:t>
      </w:r>
    </w:p>
    <w:p w14:paraId="382B47FE" w14:textId="4F6861BA" w:rsidR="009067E2" w:rsidRPr="003607C8" w:rsidRDefault="003607C8" w:rsidP="003607C8">
      <w:pPr>
        <w:spacing w:line="240" w:lineRule="auto"/>
        <w:ind w:firstLine="708"/>
        <w:jc w:val="both"/>
        <w:rPr>
          <w:rFonts w:ascii="Times New Roman" w:hAnsi="Times New Roman" w:cs="Times New Roman"/>
        </w:rPr>
      </w:pPr>
      <w:r>
        <w:rPr>
          <w:rFonts w:ascii="Times New Roman" w:hAnsi="Times New Roman" w:cs="Times New Roman"/>
        </w:rPr>
        <w:t>Comme en 2020, le</w:t>
      </w:r>
      <w:r w:rsidRPr="003607C8">
        <w:rPr>
          <w:rFonts w:ascii="Times New Roman" w:hAnsi="Times New Roman" w:cs="Times New Roman"/>
        </w:rPr>
        <w:t xml:space="preserve"> rendement des SCPI devrait continuer à rester attractif en 202</w:t>
      </w:r>
      <w:r>
        <w:rPr>
          <w:rFonts w:ascii="Times New Roman" w:hAnsi="Times New Roman" w:cs="Times New Roman"/>
        </w:rPr>
        <w:t>1</w:t>
      </w:r>
      <w:r w:rsidRPr="003607C8">
        <w:rPr>
          <w:rFonts w:ascii="Times New Roman" w:hAnsi="Times New Roman" w:cs="Times New Roman"/>
        </w:rPr>
        <w:t>, en comparaison des rendements obligataires ou des fonds euros des contrats d’assurance vie (</w:t>
      </w:r>
      <w:r>
        <w:rPr>
          <w:rFonts w:ascii="Times New Roman" w:hAnsi="Times New Roman" w:cs="Times New Roman"/>
        </w:rPr>
        <w:t xml:space="preserve">à nouveau </w:t>
      </w:r>
      <w:r w:rsidRPr="003607C8">
        <w:rPr>
          <w:rFonts w:ascii="Times New Roman" w:hAnsi="Times New Roman" w:cs="Times New Roman"/>
        </w:rPr>
        <w:t xml:space="preserve">attendus en </w:t>
      </w:r>
      <w:r>
        <w:rPr>
          <w:rFonts w:ascii="Times New Roman" w:hAnsi="Times New Roman" w:cs="Times New Roman"/>
        </w:rPr>
        <w:t>baisse en 2020</w:t>
      </w:r>
      <w:r w:rsidR="000665F6">
        <w:rPr>
          <w:rFonts w:ascii="Times New Roman" w:hAnsi="Times New Roman" w:cs="Times New Roman"/>
        </w:rPr>
        <w:t xml:space="preserve"> entre 1 et 1,10%</w:t>
      </w:r>
      <w:r w:rsidRPr="003607C8">
        <w:rPr>
          <w:rFonts w:ascii="Times New Roman" w:hAnsi="Times New Roman" w:cs="Times New Roman"/>
        </w:rPr>
        <w:t>). L’investissement en SCPI doit se faire, comme pour les actions, dans une perspective de long, voire de très long terme.</w:t>
      </w:r>
    </w:p>
    <w:sectPr w:rsidR="009067E2" w:rsidRPr="003607C8" w:rsidSect="005812A7">
      <w:footerReference w:type="default" r:id="rId10"/>
      <w:pgSz w:w="11906" w:h="16838"/>
      <w:pgMar w:top="1417" w:right="1417" w:bottom="1276"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30DD" w14:textId="77777777" w:rsidR="00737374" w:rsidRDefault="00737374" w:rsidP="0098120B">
      <w:pPr>
        <w:spacing w:after="0" w:line="240" w:lineRule="auto"/>
      </w:pPr>
      <w:r>
        <w:separator/>
      </w:r>
    </w:p>
  </w:endnote>
  <w:endnote w:type="continuationSeparator" w:id="0">
    <w:p w14:paraId="1A304FA6" w14:textId="77777777" w:rsidR="00737374" w:rsidRDefault="00737374" w:rsidP="0098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00409"/>
      <w:docPartObj>
        <w:docPartGallery w:val="Page Numbers (Bottom of Page)"/>
        <w:docPartUnique/>
      </w:docPartObj>
    </w:sdtPr>
    <w:sdtEndPr/>
    <w:sdtContent>
      <w:p w14:paraId="2D6AEBCD" w14:textId="27A82401" w:rsidR="00FD2A32" w:rsidRDefault="00FD2A32">
        <w:pPr>
          <w:pStyle w:val="Pieddepage"/>
          <w:jc w:val="center"/>
        </w:pPr>
        <w:r>
          <w:fldChar w:fldCharType="begin"/>
        </w:r>
        <w:r>
          <w:instrText>PAGE   \* MERGEFORMAT</w:instrText>
        </w:r>
        <w:r>
          <w:fldChar w:fldCharType="separate"/>
        </w:r>
        <w:r w:rsidR="0036340B">
          <w:rPr>
            <w:noProof/>
          </w:rPr>
          <w:t>1</w:t>
        </w:r>
        <w:r>
          <w:fldChar w:fldCharType="end"/>
        </w:r>
      </w:p>
    </w:sdtContent>
  </w:sdt>
  <w:p w14:paraId="79E4DD74" w14:textId="77777777" w:rsidR="00FD2A32" w:rsidRDefault="00FD2A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7F75D" w14:textId="77777777" w:rsidR="00737374" w:rsidRDefault="00737374" w:rsidP="0098120B">
      <w:pPr>
        <w:spacing w:after="0" w:line="240" w:lineRule="auto"/>
      </w:pPr>
      <w:r>
        <w:separator/>
      </w:r>
    </w:p>
  </w:footnote>
  <w:footnote w:type="continuationSeparator" w:id="0">
    <w:p w14:paraId="4072275F" w14:textId="77777777" w:rsidR="00737374" w:rsidRDefault="00737374" w:rsidP="0098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614"/>
    <w:multiLevelType w:val="hybridMultilevel"/>
    <w:tmpl w:val="9F0893F2"/>
    <w:lvl w:ilvl="0" w:tplc="C3AC45C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BA02CC4"/>
    <w:multiLevelType w:val="multilevel"/>
    <w:tmpl w:val="24EC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926D4"/>
    <w:multiLevelType w:val="hybridMultilevel"/>
    <w:tmpl w:val="37F66BF2"/>
    <w:lvl w:ilvl="0" w:tplc="1332CBE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EB7A40"/>
    <w:multiLevelType w:val="hybridMultilevel"/>
    <w:tmpl w:val="288AB656"/>
    <w:lvl w:ilvl="0" w:tplc="FA343BC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762511"/>
    <w:multiLevelType w:val="hybridMultilevel"/>
    <w:tmpl w:val="312E01BA"/>
    <w:lvl w:ilvl="0" w:tplc="82F8F4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94011E"/>
    <w:multiLevelType w:val="hybridMultilevel"/>
    <w:tmpl w:val="AE5C8A22"/>
    <w:lvl w:ilvl="0" w:tplc="5748EEE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76174C"/>
    <w:multiLevelType w:val="hybridMultilevel"/>
    <w:tmpl w:val="E1AE8444"/>
    <w:lvl w:ilvl="0" w:tplc="72A221D2">
      <w:start w:val="3"/>
      <w:numFmt w:val="bullet"/>
      <w:lvlText w:val="-"/>
      <w:lvlJc w:val="left"/>
      <w:pPr>
        <w:ind w:left="1070" w:hanging="360"/>
      </w:pPr>
      <w:rPr>
        <w:rFonts w:ascii="Times New Roman" w:eastAsiaTheme="minorHAnsi" w:hAnsi="Times New Roman"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12"/>
    <w:rsid w:val="0000326A"/>
    <w:rsid w:val="00037987"/>
    <w:rsid w:val="00052BB5"/>
    <w:rsid w:val="000536A3"/>
    <w:rsid w:val="000665F6"/>
    <w:rsid w:val="000A3CAB"/>
    <w:rsid w:val="000B1674"/>
    <w:rsid w:val="000B7B6E"/>
    <w:rsid w:val="000C66B0"/>
    <w:rsid w:val="000E38EB"/>
    <w:rsid w:val="000F4128"/>
    <w:rsid w:val="001111D0"/>
    <w:rsid w:val="001209CE"/>
    <w:rsid w:val="00162912"/>
    <w:rsid w:val="00174F87"/>
    <w:rsid w:val="00175901"/>
    <w:rsid w:val="0017771F"/>
    <w:rsid w:val="00191178"/>
    <w:rsid w:val="001A2674"/>
    <w:rsid w:val="001B259C"/>
    <w:rsid w:val="001C451F"/>
    <w:rsid w:val="001C51E0"/>
    <w:rsid w:val="001D10C2"/>
    <w:rsid w:val="001D243F"/>
    <w:rsid w:val="001D5125"/>
    <w:rsid w:val="001F33FC"/>
    <w:rsid w:val="002165F4"/>
    <w:rsid w:val="0023055C"/>
    <w:rsid w:val="00242069"/>
    <w:rsid w:val="002542F6"/>
    <w:rsid w:val="00263EBF"/>
    <w:rsid w:val="00274BBA"/>
    <w:rsid w:val="002848B3"/>
    <w:rsid w:val="002D5B10"/>
    <w:rsid w:val="002E2EF9"/>
    <w:rsid w:val="00312FCC"/>
    <w:rsid w:val="00331278"/>
    <w:rsid w:val="0035180B"/>
    <w:rsid w:val="003607C8"/>
    <w:rsid w:val="00362172"/>
    <w:rsid w:val="0036340B"/>
    <w:rsid w:val="00376F19"/>
    <w:rsid w:val="003C1793"/>
    <w:rsid w:val="003D16BD"/>
    <w:rsid w:val="003D47E0"/>
    <w:rsid w:val="00403CE9"/>
    <w:rsid w:val="004074A8"/>
    <w:rsid w:val="0041627E"/>
    <w:rsid w:val="004374CF"/>
    <w:rsid w:val="00472D8A"/>
    <w:rsid w:val="00485F1F"/>
    <w:rsid w:val="00491D0F"/>
    <w:rsid w:val="004D0A02"/>
    <w:rsid w:val="004F20B1"/>
    <w:rsid w:val="004F7796"/>
    <w:rsid w:val="005031F7"/>
    <w:rsid w:val="00532495"/>
    <w:rsid w:val="005812A7"/>
    <w:rsid w:val="005821C7"/>
    <w:rsid w:val="00584B3A"/>
    <w:rsid w:val="0059079F"/>
    <w:rsid w:val="00596FBF"/>
    <w:rsid w:val="005B2972"/>
    <w:rsid w:val="005B36BC"/>
    <w:rsid w:val="005B5F52"/>
    <w:rsid w:val="005C3AA2"/>
    <w:rsid w:val="005C4893"/>
    <w:rsid w:val="005C658E"/>
    <w:rsid w:val="005D6C7C"/>
    <w:rsid w:val="005E5B5F"/>
    <w:rsid w:val="005F5A58"/>
    <w:rsid w:val="005F5F92"/>
    <w:rsid w:val="006050EB"/>
    <w:rsid w:val="00614DB6"/>
    <w:rsid w:val="00624EFA"/>
    <w:rsid w:val="006469FA"/>
    <w:rsid w:val="00696706"/>
    <w:rsid w:val="006E4EDF"/>
    <w:rsid w:val="0070273E"/>
    <w:rsid w:val="00703265"/>
    <w:rsid w:val="00714D00"/>
    <w:rsid w:val="00737374"/>
    <w:rsid w:val="00742E60"/>
    <w:rsid w:val="00753D4A"/>
    <w:rsid w:val="0077671D"/>
    <w:rsid w:val="0077675E"/>
    <w:rsid w:val="0079536E"/>
    <w:rsid w:val="007A25E9"/>
    <w:rsid w:val="007A53E6"/>
    <w:rsid w:val="007A5F3B"/>
    <w:rsid w:val="007C6C77"/>
    <w:rsid w:val="007D13B2"/>
    <w:rsid w:val="007D6D92"/>
    <w:rsid w:val="007F5329"/>
    <w:rsid w:val="00803996"/>
    <w:rsid w:val="00814D5F"/>
    <w:rsid w:val="008178DF"/>
    <w:rsid w:val="00825CBD"/>
    <w:rsid w:val="00835672"/>
    <w:rsid w:val="00844B2C"/>
    <w:rsid w:val="0085754A"/>
    <w:rsid w:val="00882057"/>
    <w:rsid w:val="00890AAE"/>
    <w:rsid w:val="00892E66"/>
    <w:rsid w:val="008A000F"/>
    <w:rsid w:val="008C0B41"/>
    <w:rsid w:val="008D3E8D"/>
    <w:rsid w:val="008E2082"/>
    <w:rsid w:val="008E4F27"/>
    <w:rsid w:val="009067E2"/>
    <w:rsid w:val="009562DF"/>
    <w:rsid w:val="00962C08"/>
    <w:rsid w:val="0097144B"/>
    <w:rsid w:val="0098120B"/>
    <w:rsid w:val="00986C88"/>
    <w:rsid w:val="0099065E"/>
    <w:rsid w:val="009A45B4"/>
    <w:rsid w:val="009C7074"/>
    <w:rsid w:val="00A16B22"/>
    <w:rsid w:val="00A53CE8"/>
    <w:rsid w:val="00A905DC"/>
    <w:rsid w:val="00AC4E6B"/>
    <w:rsid w:val="00AC76A7"/>
    <w:rsid w:val="00AE0021"/>
    <w:rsid w:val="00AF2EAC"/>
    <w:rsid w:val="00AF785B"/>
    <w:rsid w:val="00B11E6F"/>
    <w:rsid w:val="00B21243"/>
    <w:rsid w:val="00B24E0C"/>
    <w:rsid w:val="00B41DE0"/>
    <w:rsid w:val="00B43DFB"/>
    <w:rsid w:val="00B532A8"/>
    <w:rsid w:val="00B8302F"/>
    <w:rsid w:val="00B841B3"/>
    <w:rsid w:val="00BB417C"/>
    <w:rsid w:val="00BB5D9A"/>
    <w:rsid w:val="00BE0099"/>
    <w:rsid w:val="00BE3466"/>
    <w:rsid w:val="00BF0890"/>
    <w:rsid w:val="00C07E29"/>
    <w:rsid w:val="00C163D3"/>
    <w:rsid w:val="00C37E90"/>
    <w:rsid w:val="00C53AF3"/>
    <w:rsid w:val="00C65DB9"/>
    <w:rsid w:val="00C91FE4"/>
    <w:rsid w:val="00CA08FB"/>
    <w:rsid w:val="00CA1A22"/>
    <w:rsid w:val="00CA4729"/>
    <w:rsid w:val="00CA53F1"/>
    <w:rsid w:val="00CB0DF4"/>
    <w:rsid w:val="00CB412C"/>
    <w:rsid w:val="00CC6F62"/>
    <w:rsid w:val="00CF2DDA"/>
    <w:rsid w:val="00D83FFA"/>
    <w:rsid w:val="00DB5977"/>
    <w:rsid w:val="00DE62BC"/>
    <w:rsid w:val="00DE77AA"/>
    <w:rsid w:val="00E116D3"/>
    <w:rsid w:val="00E2332C"/>
    <w:rsid w:val="00E31BAF"/>
    <w:rsid w:val="00E34166"/>
    <w:rsid w:val="00E504D4"/>
    <w:rsid w:val="00E51564"/>
    <w:rsid w:val="00E5418B"/>
    <w:rsid w:val="00E54EE5"/>
    <w:rsid w:val="00E9516E"/>
    <w:rsid w:val="00EB15C2"/>
    <w:rsid w:val="00EB6D21"/>
    <w:rsid w:val="00EC0D7B"/>
    <w:rsid w:val="00ED4E6D"/>
    <w:rsid w:val="00EF7A73"/>
    <w:rsid w:val="00F02E2F"/>
    <w:rsid w:val="00F0539C"/>
    <w:rsid w:val="00F10836"/>
    <w:rsid w:val="00F24CCD"/>
    <w:rsid w:val="00F272D4"/>
    <w:rsid w:val="00F46104"/>
    <w:rsid w:val="00F73803"/>
    <w:rsid w:val="00FA706B"/>
    <w:rsid w:val="00FB0326"/>
    <w:rsid w:val="00FB4840"/>
    <w:rsid w:val="00FC1A51"/>
    <w:rsid w:val="00FC4B80"/>
    <w:rsid w:val="00FD2A32"/>
    <w:rsid w:val="00FD54DE"/>
    <w:rsid w:val="00FF1773"/>
    <w:rsid w:val="00FF2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BFA1E"/>
  <w15:docId w15:val="{028F7366-E7DC-4C74-B5DA-FF8B4AA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2912"/>
    <w:rPr>
      <w:color w:val="0000FF" w:themeColor="hyperlink"/>
      <w:u w:val="single"/>
    </w:rPr>
  </w:style>
  <w:style w:type="table" w:styleId="Grilledutableau">
    <w:name w:val="Table Grid"/>
    <w:basedOn w:val="TableauNormal"/>
    <w:uiPriority w:val="59"/>
    <w:rsid w:val="00FB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7796"/>
    <w:pPr>
      <w:ind w:left="720"/>
      <w:contextualSpacing/>
    </w:pPr>
  </w:style>
  <w:style w:type="paragraph" w:styleId="Textedebulles">
    <w:name w:val="Balloon Text"/>
    <w:basedOn w:val="Normal"/>
    <w:link w:val="TextedebullesCar"/>
    <w:uiPriority w:val="99"/>
    <w:semiHidden/>
    <w:unhideWhenUsed/>
    <w:rsid w:val="007F53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329"/>
    <w:rPr>
      <w:rFonts w:ascii="Tahoma" w:hAnsi="Tahoma" w:cs="Tahoma"/>
      <w:sz w:val="16"/>
      <w:szCs w:val="16"/>
    </w:rPr>
  </w:style>
  <w:style w:type="paragraph" w:styleId="En-tte">
    <w:name w:val="header"/>
    <w:basedOn w:val="Normal"/>
    <w:link w:val="En-tteCar"/>
    <w:uiPriority w:val="99"/>
    <w:unhideWhenUsed/>
    <w:rsid w:val="0098120B"/>
    <w:pPr>
      <w:tabs>
        <w:tab w:val="center" w:pos="4536"/>
        <w:tab w:val="right" w:pos="9072"/>
      </w:tabs>
      <w:spacing w:after="0" w:line="240" w:lineRule="auto"/>
    </w:pPr>
  </w:style>
  <w:style w:type="character" w:customStyle="1" w:styleId="En-tteCar">
    <w:name w:val="En-tête Car"/>
    <w:basedOn w:val="Policepardfaut"/>
    <w:link w:val="En-tte"/>
    <w:uiPriority w:val="99"/>
    <w:rsid w:val="0098120B"/>
  </w:style>
  <w:style w:type="paragraph" w:styleId="Pieddepage">
    <w:name w:val="footer"/>
    <w:basedOn w:val="Normal"/>
    <w:link w:val="PieddepageCar"/>
    <w:uiPriority w:val="99"/>
    <w:unhideWhenUsed/>
    <w:rsid w:val="009812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2841">
      <w:bodyDiv w:val="1"/>
      <w:marLeft w:val="0"/>
      <w:marRight w:val="0"/>
      <w:marTop w:val="0"/>
      <w:marBottom w:val="0"/>
      <w:divBdr>
        <w:top w:val="none" w:sz="0" w:space="0" w:color="auto"/>
        <w:left w:val="none" w:sz="0" w:space="0" w:color="auto"/>
        <w:bottom w:val="none" w:sz="0" w:space="0" w:color="auto"/>
        <w:right w:val="none" w:sz="0" w:space="0" w:color="auto"/>
      </w:divBdr>
    </w:div>
    <w:div w:id="21063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9F0C-7633-4BC5-8662-927D627C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8777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dc:creator>
  <cp:lastModifiedBy>PROCONTACT</cp:lastModifiedBy>
  <cp:revision>2</cp:revision>
  <cp:lastPrinted>2021-01-15T17:47:00Z</cp:lastPrinted>
  <dcterms:created xsi:type="dcterms:W3CDTF">2021-01-26T12:36:00Z</dcterms:created>
  <dcterms:modified xsi:type="dcterms:W3CDTF">2021-01-26T12:36:00Z</dcterms:modified>
</cp:coreProperties>
</file>