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70A" w:rsidRDefault="007E54DB">
      <w:pPr>
        <w:jc w:val="center"/>
        <w:rPr>
          <w:rFonts w:ascii="Times New Roman" w:hAnsi="Times New Roman"/>
          <w:b/>
          <w:bCs/>
          <w:color w:val="4472C4"/>
          <w:sz w:val="28"/>
          <w:szCs w:val="28"/>
        </w:rPr>
      </w:pPr>
      <w:bookmarkStart w:id="0" w:name="_GoBack"/>
      <w:bookmarkEnd w:id="0"/>
      <w:r>
        <w:rPr>
          <w:rFonts w:ascii="Times New Roman" w:hAnsi="Times New Roman"/>
          <w:b/>
          <w:bCs/>
          <w:color w:val="4472C4"/>
          <w:sz w:val="28"/>
          <w:szCs w:val="28"/>
        </w:rPr>
        <w:t>NOTE D’INFORMATION SUR LES MARCHES – 18/09/2020</w:t>
      </w:r>
    </w:p>
    <w:p w:rsidR="0086570A" w:rsidRDefault="0086570A"/>
    <w:p w:rsidR="0086570A" w:rsidRDefault="007E54DB">
      <w:pPr>
        <w:spacing w:line="240" w:lineRule="auto"/>
        <w:jc w:val="both"/>
        <w:rPr>
          <w:rFonts w:ascii="Times New Roman" w:hAnsi="Times New Roman"/>
        </w:rPr>
      </w:pPr>
      <w:r>
        <w:rPr>
          <w:rFonts w:ascii="Times New Roman" w:hAnsi="Times New Roman"/>
        </w:rPr>
        <w:t xml:space="preserve">Après un début d’année porteur, les marchés actions ont fortement chuté, partout dans le monde, entre le 20 février et le 20 mars </w:t>
      </w:r>
      <w:r>
        <w:rPr>
          <w:rFonts w:ascii="Times New Roman" w:hAnsi="Times New Roman"/>
        </w:rPr>
        <w:t>2020 ; l’indice MSCI World (actions monde) a ainsi chuté de 33% avant de rebondir au niveau d’avant crise actuellement.</w:t>
      </w:r>
    </w:p>
    <w:p w:rsidR="0086570A" w:rsidRDefault="007E54DB">
      <w:pPr>
        <w:spacing w:line="240" w:lineRule="auto"/>
        <w:jc w:val="both"/>
        <w:rPr>
          <w:rFonts w:ascii="Times New Roman" w:hAnsi="Times New Roman"/>
        </w:rPr>
      </w:pPr>
      <w:r>
        <w:rPr>
          <w:rFonts w:ascii="Times New Roman" w:hAnsi="Times New Roman"/>
        </w:rPr>
        <w:t xml:space="preserve">Toutefois les indices actions n’ont pas tous la même trajectoire et, à l’intérieur des indices, il y a aussi de fortes disparités selon </w:t>
      </w:r>
      <w:r>
        <w:rPr>
          <w:rFonts w:ascii="Times New Roman" w:hAnsi="Times New Roman"/>
        </w:rPr>
        <w:t>le type d’action.</w:t>
      </w:r>
    </w:p>
    <w:p w:rsidR="0086570A" w:rsidRDefault="007E54DB">
      <w:pPr>
        <w:spacing w:line="240" w:lineRule="auto"/>
        <w:jc w:val="both"/>
        <w:rPr>
          <w:rFonts w:ascii="Times New Roman" w:hAnsi="Times New Roman"/>
        </w:rPr>
      </w:pPr>
      <w:r>
        <w:rPr>
          <w:rFonts w:ascii="Times New Roman" w:hAnsi="Times New Roman"/>
        </w:rPr>
        <w:t>Les indices américains ont été portés par les performances exceptionnelles des valeurs technologiques qui sont les grandes gagnantes de la crise, comme AMAZON, MICROSOFT, FACEBOOK… même si certaines comme TESLA ont atteint des niveaux inc</w:t>
      </w:r>
      <w:r>
        <w:rPr>
          <w:rFonts w:ascii="Times New Roman" w:hAnsi="Times New Roman"/>
        </w:rPr>
        <w:t>ompréhensibles.</w:t>
      </w:r>
    </w:p>
    <w:p w:rsidR="0086570A" w:rsidRDefault="007E54DB">
      <w:pPr>
        <w:spacing w:line="240" w:lineRule="auto"/>
        <w:jc w:val="both"/>
        <w:rPr>
          <w:rFonts w:ascii="Times New Roman" w:hAnsi="Times New Roman"/>
        </w:rPr>
      </w:pPr>
      <w:r>
        <w:rPr>
          <w:rFonts w:ascii="Times New Roman" w:hAnsi="Times New Roman"/>
        </w:rPr>
        <w:t>Un analyste de MEESCHAERT à New-York, Grégori Volokhine, expliquait que, au plus haut, la valeur de TESLA supposait que, selon lui, la firme vende l’équivalent de 110% des voitures qui sont vendues chaque année dans le monde ; après avoir c</w:t>
      </w:r>
      <w:r>
        <w:rPr>
          <w:rFonts w:ascii="Times New Roman" w:hAnsi="Times New Roman"/>
        </w:rPr>
        <w:t>huté de plus de 30% en quelques jours, la valorisation est pourtant remontée à plus de 400 milliards de dollars, soit près de deux fois plus que TOYOTA qui vend plus de 10 millions de voitures par an contre 500.000 prévues par TESLA en 2020.</w:t>
      </w:r>
    </w:p>
    <w:p w:rsidR="0086570A" w:rsidRDefault="007E54DB">
      <w:pPr>
        <w:spacing w:line="240" w:lineRule="auto"/>
        <w:jc w:val="both"/>
        <w:rPr>
          <w:rFonts w:ascii="Times New Roman" w:hAnsi="Times New Roman"/>
        </w:rPr>
      </w:pPr>
      <w:r>
        <w:rPr>
          <w:rFonts w:ascii="Times New Roman" w:hAnsi="Times New Roman"/>
        </w:rPr>
        <w:t>A l’inverse, l</w:t>
      </w:r>
      <w:r>
        <w:rPr>
          <w:rFonts w:ascii="Times New Roman" w:hAnsi="Times New Roman"/>
        </w:rPr>
        <w:t>es valeurs « value » (type services aux collectivités, banques, industrie automobile, pétrole...), ont continué leur chute entamée depuis début 2018, relativement aux valeurs de croissance.</w:t>
      </w:r>
    </w:p>
    <w:p w:rsidR="0086570A" w:rsidRDefault="007E54DB">
      <w:pPr>
        <w:spacing w:line="240" w:lineRule="auto"/>
        <w:jc w:val="both"/>
        <w:rPr>
          <w:rFonts w:ascii="Times New Roman" w:hAnsi="Times New Roman"/>
        </w:rPr>
      </w:pPr>
      <w:r>
        <w:rPr>
          <w:rFonts w:ascii="Times New Roman" w:hAnsi="Times New Roman"/>
        </w:rPr>
        <w:t>Un gérant de la Financière ARBEVEL, Thibault PREBAY, résumait réce</w:t>
      </w:r>
      <w:r>
        <w:rPr>
          <w:rFonts w:ascii="Times New Roman" w:hAnsi="Times New Roman"/>
        </w:rPr>
        <w:t xml:space="preserve">mment la situation en disant que les valeurs de croissance, particulièrement les valeurs technologiques, avaient une tendance à la hausse élevée mais que les cours des sociétés étaient très au-dessus de cette tendance ; alors que les valeurs « value » ont </w:t>
      </w:r>
      <w:r>
        <w:rPr>
          <w:rFonts w:ascii="Times New Roman" w:hAnsi="Times New Roman"/>
        </w:rPr>
        <w:t>une tendance à la hausse beaucoup plus faible sur le long terme mais que leurs cours sont très en-dessous de leurs valeurs « intrinsèques ».</w:t>
      </w:r>
    </w:p>
    <w:p w:rsidR="0086570A" w:rsidRDefault="007E54DB">
      <w:pPr>
        <w:spacing w:line="240" w:lineRule="auto"/>
        <w:jc w:val="both"/>
        <w:rPr>
          <w:rFonts w:ascii="Times New Roman" w:hAnsi="Times New Roman"/>
        </w:rPr>
      </w:pPr>
      <w:r>
        <w:rPr>
          <w:rFonts w:ascii="Times New Roman" w:hAnsi="Times New Roman"/>
        </w:rPr>
        <w:t>Le marché attend toujours un rééquilibrage entre valeurs « value » et valeurs de croissance mais celui-ci tarde à s</w:t>
      </w:r>
      <w:r>
        <w:rPr>
          <w:rFonts w:ascii="Times New Roman" w:hAnsi="Times New Roman"/>
        </w:rPr>
        <w:t>e produire ; certains gérants expliquent qu’il faudrait un retour marqué de la croissance et/ou de l’inflation pour que ce mouvement s’amorce vraiment.</w:t>
      </w:r>
    </w:p>
    <w:p w:rsidR="0086570A" w:rsidRDefault="0086570A">
      <w:pPr>
        <w:spacing w:line="240" w:lineRule="auto"/>
        <w:jc w:val="both"/>
        <w:rPr>
          <w:rFonts w:ascii="Times New Roman" w:hAnsi="Times New Roman"/>
        </w:rPr>
      </w:pPr>
    </w:p>
    <w:p w:rsidR="0086570A" w:rsidRDefault="007E54DB">
      <w:pPr>
        <w:spacing w:line="240" w:lineRule="auto"/>
        <w:jc w:val="both"/>
      </w:pPr>
      <w:r>
        <w:rPr>
          <w:rFonts w:ascii="Times New Roman" w:hAnsi="Times New Roman"/>
        </w:rPr>
        <w:t>En ce qui concerne l’économie, l’OCDE, selon un article récent du Figaro, « table ainsi sur un recul de</w:t>
      </w:r>
      <w:r>
        <w:rPr>
          <w:rFonts w:ascii="Times New Roman" w:hAnsi="Times New Roman"/>
        </w:rPr>
        <w:t xml:space="preserve"> 4,5% du PIB mondial en 2020 puis sur un rebond de 5% en 2020. En juin, elle prévoyait une récession de 6% et une reprise de 5,2%. Elle souligne toutefois que « </w:t>
      </w:r>
      <w:r>
        <w:rPr>
          <w:rStyle w:val="Accentuation"/>
          <w:rFonts w:ascii="Times New Roman" w:hAnsi="Times New Roman"/>
        </w:rPr>
        <w:t xml:space="preserve">ces perspectives sont très incertaines </w:t>
      </w:r>
      <w:r>
        <w:rPr>
          <w:rFonts w:ascii="Times New Roman" w:hAnsi="Times New Roman"/>
        </w:rPr>
        <w:t xml:space="preserve">» car dépendantes « </w:t>
      </w:r>
      <w:r>
        <w:rPr>
          <w:rStyle w:val="Accentuation"/>
          <w:rFonts w:ascii="Times New Roman" w:hAnsi="Times New Roman"/>
        </w:rPr>
        <w:t>des hypothèses relatives à la propag</w:t>
      </w:r>
      <w:r>
        <w:rPr>
          <w:rStyle w:val="Accentuation"/>
          <w:rFonts w:ascii="Times New Roman" w:hAnsi="Times New Roman"/>
        </w:rPr>
        <w:t xml:space="preserve">ation du virus et de l'évolution des politiques </w:t>
      </w:r>
      <w:r>
        <w:rPr>
          <w:rFonts w:ascii="Times New Roman" w:hAnsi="Times New Roman"/>
        </w:rPr>
        <w:t>» macroéconomiques.</w:t>
      </w:r>
    </w:p>
    <w:p w:rsidR="0086570A" w:rsidRDefault="007E54DB">
      <w:pPr>
        <w:pStyle w:val="css-s6jpj4"/>
        <w:shd w:val="clear" w:color="auto" w:fill="FFFFFF"/>
        <w:spacing w:before="240" w:after="240"/>
        <w:jc w:val="both"/>
      </w:pPr>
      <w:r>
        <w:rPr>
          <w:rStyle w:val="lev"/>
          <w:b w:val="0"/>
          <w:bCs w:val="0"/>
          <w:sz w:val="22"/>
          <w:szCs w:val="22"/>
        </w:rPr>
        <w:t>Disparités entre les pays :</w:t>
      </w:r>
    </w:p>
    <w:p w:rsidR="0086570A" w:rsidRDefault="007E54DB">
      <w:pPr>
        <w:pStyle w:val="css-s6jpj4"/>
        <w:shd w:val="clear" w:color="auto" w:fill="FFFFFF"/>
        <w:spacing w:before="240" w:after="240"/>
        <w:jc w:val="both"/>
      </w:pPr>
      <w:r>
        <w:rPr>
          <w:sz w:val="22"/>
          <w:szCs w:val="22"/>
        </w:rPr>
        <w:t xml:space="preserve">En outre, ce chiffre global masque des « </w:t>
      </w:r>
      <w:r>
        <w:rPr>
          <w:rStyle w:val="Accentuation"/>
          <w:sz w:val="22"/>
          <w:szCs w:val="22"/>
        </w:rPr>
        <w:t xml:space="preserve">différences considérables entre les pays </w:t>
      </w:r>
      <w:r>
        <w:rPr>
          <w:sz w:val="22"/>
          <w:szCs w:val="22"/>
        </w:rPr>
        <w:t>», entre la Chine (+1,8%) qui devrait être la seule économie du panel à affich</w:t>
      </w:r>
      <w:r>
        <w:rPr>
          <w:sz w:val="22"/>
          <w:szCs w:val="22"/>
        </w:rPr>
        <w:t>er une croissance en 2020 et l'Inde, entrée plus tardivement dans la pandémie, dont le PIB devrait chuter de 10,2%.</w:t>
      </w:r>
    </w:p>
    <w:p w:rsidR="0086570A" w:rsidRDefault="007E54DB">
      <w:pPr>
        <w:pStyle w:val="css-s6jpj4"/>
        <w:shd w:val="clear" w:color="auto" w:fill="FFFFFF"/>
        <w:spacing w:before="240" w:after="240"/>
        <w:jc w:val="both"/>
        <w:rPr>
          <w:sz w:val="22"/>
          <w:szCs w:val="22"/>
        </w:rPr>
      </w:pPr>
      <w:r>
        <w:rPr>
          <w:sz w:val="22"/>
          <w:szCs w:val="22"/>
        </w:rPr>
        <w:t>En 2020, les États-Unis (-3,8%) devraient finalement faire mieux que la moyenne mondiale, et l'Allemagne (-5,4%) mieux que la zone euro (-7,</w:t>
      </w:r>
      <w:r>
        <w:rPr>
          <w:sz w:val="22"/>
          <w:szCs w:val="22"/>
        </w:rPr>
        <w:t>9%). La France (-9,5%), l'Italie (-10,5%) et le Royaume-Uni (-10,1%) devraient au contraire accuser fortement le coup, et rebondir moins fortement en 2021 que ce que l'OCDE anticipait en juin.</w:t>
      </w:r>
    </w:p>
    <w:p w:rsidR="0086570A" w:rsidRDefault="007E54DB">
      <w:pPr>
        <w:pStyle w:val="css-s6jpj4"/>
        <w:shd w:val="clear" w:color="auto" w:fill="FFFFFF"/>
        <w:spacing w:before="240" w:after="240"/>
        <w:jc w:val="both"/>
      </w:pPr>
      <w:r>
        <w:rPr>
          <w:sz w:val="22"/>
          <w:szCs w:val="22"/>
        </w:rPr>
        <w:t>Pour autant, l'OCDE est claire : sans la réaction rapide et mas</w:t>
      </w:r>
      <w:r>
        <w:rPr>
          <w:sz w:val="22"/>
          <w:szCs w:val="22"/>
        </w:rPr>
        <w:t>sive des gouvernements, sans l'intervention conséquente des banques centrales, «</w:t>
      </w:r>
      <w:r>
        <w:rPr>
          <w:rStyle w:val="Accentuation"/>
          <w:sz w:val="22"/>
          <w:szCs w:val="22"/>
        </w:rPr>
        <w:t xml:space="preserve">la contraction de l'activité aurait été nettement plus importante </w:t>
      </w:r>
      <w:r>
        <w:rPr>
          <w:sz w:val="22"/>
          <w:szCs w:val="22"/>
        </w:rPr>
        <w:t xml:space="preserve">». Elle les invite d'ailleurs à continuer à soutenir l'activité en 2021, et ce d'autant que « </w:t>
      </w:r>
      <w:r>
        <w:rPr>
          <w:rStyle w:val="Accentuation"/>
          <w:sz w:val="22"/>
          <w:szCs w:val="22"/>
        </w:rPr>
        <w:t>l'incertitude re</w:t>
      </w:r>
      <w:r>
        <w:rPr>
          <w:rStyle w:val="Accentuation"/>
          <w:sz w:val="22"/>
          <w:szCs w:val="22"/>
        </w:rPr>
        <w:t xml:space="preserve">ste élevée et la confiance fragile </w:t>
      </w:r>
      <w:r>
        <w:rPr>
          <w:sz w:val="22"/>
          <w:szCs w:val="22"/>
        </w:rPr>
        <w:t>». ».</w:t>
      </w:r>
    </w:p>
    <w:p w:rsidR="0086570A" w:rsidRDefault="007E54DB">
      <w:pPr>
        <w:jc w:val="both"/>
        <w:rPr>
          <w:rFonts w:ascii="Times New Roman" w:hAnsi="Times New Roman"/>
        </w:rPr>
      </w:pPr>
      <w:r>
        <w:rPr>
          <w:rFonts w:ascii="Times New Roman" w:hAnsi="Times New Roman"/>
        </w:rPr>
        <w:lastRenderedPageBreak/>
        <w:t>Aujourd’hui, il semblerait que l’incertitude des prévisions soit en grande partie due à la difficulté qu’ont les pays à maîtriser la pandémie ; on a beaucoup de mal à savoir si celle-ci va être contenue et si les se</w:t>
      </w:r>
      <w:r>
        <w:rPr>
          <w:rFonts w:ascii="Times New Roman" w:hAnsi="Times New Roman"/>
        </w:rPr>
        <w:t>cteurs encore très touchés actuellement comme le tourisme, l’hôtellerie haut de gamme et les transports aériens vont pouvoir retrouver rapidement leur niveau d’avant crise.</w:t>
      </w:r>
    </w:p>
    <w:p w:rsidR="0086570A" w:rsidRDefault="007E54DB">
      <w:pPr>
        <w:jc w:val="both"/>
        <w:rPr>
          <w:rFonts w:ascii="Times New Roman" w:hAnsi="Times New Roman"/>
        </w:rPr>
      </w:pPr>
      <w:r>
        <w:rPr>
          <w:rFonts w:ascii="Times New Roman" w:hAnsi="Times New Roman"/>
        </w:rPr>
        <w:t xml:space="preserve">Comme le montre le graphique ci-dessous, au 1er septembre 2020, la pandémie </w:t>
      </w:r>
      <w:r>
        <w:rPr>
          <w:rFonts w:ascii="Times New Roman" w:hAnsi="Times New Roman"/>
        </w:rPr>
        <w:t>semblait relativement maîtrisée à l’exception de l’Espagne qui avait dépassé le seuil de 5% de cas positifs par rapport au nombre de tests réalisés :</w:t>
      </w:r>
    </w:p>
    <w:p w:rsidR="0086570A" w:rsidRDefault="007E54DB">
      <w:pPr>
        <w:ind w:left="708"/>
      </w:pPr>
      <w:r>
        <w:rPr>
          <w:rFonts w:ascii="Times New Roman" w:hAnsi="Times New Roman"/>
          <w:noProof/>
          <w:lang w:eastAsia="fr-FR"/>
        </w:rPr>
        <w:drawing>
          <wp:inline distT="0" distB="0" distL="0" distR="0">
            <wp:extent cx="4457855" cy="307467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l="9920" t="34333" r="56901" b="24985"/>
                    <a:stretch>
                      <a:fillRect/>
                    </a:stretch>
                  </pic:blipFill>
                  <pic:spPr>
                    <a:xfrm>
                      <a:off x="0" y="0"/>
                      <a:ext cx="4457855" cy="3074670"/>
                    </a:xfrm>
                    <a:prstGeom prst="rect">
                      <a:avLst/>
                    </a:prstGeom>
                    <a:noFill/>
                    <a:ln>
                      <a:noFill/>
                      <a:prstDash/>
                    </a:ln>
                  </pic:spPr>
                </pic:pic>
              </a:graphicData>
            </a:graphic>
          </wp:inline>
        </w:drawing>
      </w:r>
    </w:p>
    <w:p w:rsidR="0086570A" w:rsidRDefault="007E54DB">
      <w:pPr>
        <w:jc w:val="both"/>
        <w:rPr>
          <w:rFonts w:ascii="Times New Roman" w:hAnsi="Times New Roman"/>
        </w:rPr>
      </w:pPr>
      <w:r>
        <w:rPr>
          <w:rFonts w:ascii="Times New Roman" w:hAnsi="Times New Roman"/>
        </w:rPr>
        <w:t>De façon générale, on sent que les gérants actions restent prudents quant à l’évolution des cours des ac</w:t>
      </w:r>
      <w:r>
        <w:rPr>
          <w:rFonts w:ascii="Times New Roman" w:hAnsi="Times New Roman"/>
        </w:rPr>
        <w:t>tions pour les mois à venir… toutefois des gérants comme Romain BURNAND, de MONETA, restent pratiquement pleinement investis, comme ils le sont de manière habituelle.</w:t>
      </w:r>
    </w:p>
    <w:p w:rsidR="0086570A" w:rsidRDefault="007E54DB">
      <w:pPr>
        <w:jc w:val="both"/>
        <w:rPr>
          <w:rFonts w:ascii="Times New Roman" w:hAnsi="Times New Roman"/>
        </w:rPr>
      </w:pPr>
      <w:r>
        <w:rPr>
          <w:rFonts w:ascii="Times New Roman" w:hAnsi="Times New Roman"/>
        </w:rPr>
        <w:t xml:space="preserve">Jean-Charles MERIAUX, de DNCA, est également investi à 95% ; de même pour le fonds </w:t>
      </w:r>
      <w:r>
        <w:rPr>
          <w:rFonts w:ascii="Times New Roman" w:hAnsi="Times New Roman"/>
        </w:rPr>
        <w:t>PLUVALCA ALLCAPS (Financière ARBEVEL) qui n’a que 6% de liquidités.</w:t>
      </w:r>
    </w:p>
    <w:p w:rsidR="0086570A" w:rsidRDefault="007E54DB">
      <w:pPr>
        <w:rPr>
          <w:rFonts w:ascii="Times New Roman" w:hAnsi="Times New Roman"/>
        </w:rPr>
      </w:pPr>
      <w:r>
        <w:rPr>
          <w:rFonts w:ascii="Times New Roman" w:hAnsi="Times New Roman"/>
        </w:rPr>
        <w:t>La prudence reste donc de mise mais, comme bien souvent, on peut penser qu’à un horizon de 5 à 6 ans, l’investissement en actions reste pertinent, surtout dans un contexte de taux toujours</w:t>
      </w:r>
      <w:r>
        <w:rPr>
          <w:rFonts w:ascii="Times New Roman" w:hAnsi="Times New Roman"/>
        </w:rPr>
        <w:t xml:space="preserve"> très bas où, mises à part certains types d’obligations d’entreprises, il est très difficile de trouver du rendement.</w:t>
      </w:r>
    </w:p>
    <w:p w:rsidR="0086570A" w:rsidRDefault="0086570A">
      <w:pPr>
        <w:rPr>
          <w:rFonts w:ascii="Times New Roman" w:hAnsi="Times New Roman"/>
        </w:rPr>
      </w:pPr>
    </w:p>
    <w:p w:rsidR="0086570A" w:rsidRDefault="007E54DB">
      <w:pPr>
        <w:rPr>
          <w:rFonts w:ascii="Times New Roman" w:hAnsi="Times New Roman"/>
          <w:b/>
          <w:bCs/>
          <w:color w:val="4472C4"/>
        </w:rPr>
      </w:pPr>
      <w:r>
        <w:rPr>
          <w:rFonts w:ascii="Times New Roman" w:hAnsi="Times New Roman"/>
          <w:b/>
          <w:bCs/>
          <w:color w:val="4472C4"/>
        </w:rPr>
        <w:t>L’immobilier professionnel :</w:t>
      </w:r>
    </w:p>
    <w:p w:rsidR="0086570A" w:rsidRDefault="007E54DB">
      <w:pPr>
        <w:jc w:val="both"/>
        <w:rPr>
          <w:rFonts w:ascii="Times New Roman" w:hAnsi="Times New Roman"/>
        </w:rPr>
      </w:pPr>
      <w:r>
        <w:rPr>
          <w:rFonts w:ascii="Times New Roman" w:hAnsi="Times New Roman"/>
        </w:rPr>
        <w:t>Avec le confinement, on pourrait craindre des conséquences sur la valorisation ou le rendement des SCPI, not</w:t>
      </w:r>
      <w:r>
        <w:rPr>
          <w:rFonts w:ascii="Times New Roman" w:hAnsi="Times New Roman"/>
        </w:rPr>
        <w:t>amment celles détenant des murs de commerce.</w:t>
      </w:r>
    </w:p>
    <w:p w:rsidR="0086570A" w:rsidRDefault="007E54DB">
      <w:pPr>
        <w:jc w:val="both"/>
        <w:rPr>
          <w:rFonts w:ascii="Times New Roman" w:hAnsi="Times New Roman"/>
        </w:rPr>
      </w:pPr>
      <w:r>
        <w:rPr>
          <w:rFonts w:ascii="Times New Roman" w:hAnsi="Times New Roman"/>
        </w:rPr>
        <w:t>Avec le recul, et au vu des différents reporting au 30/06/2020, il semblerait que le plus gros des difficultés soit désormais derrière nous.</w:t>
      </w:r>
    </w:p>
    <w:p w:rsidR="0086570A" w:rsidRDefault="007E54DB">
      <w:pPr>
        <w:jc w:val="both"/>
      </w:pPr>
      <w:r>
        <w:rPr>
          <w:rFonts w:ascii="Times New Roman" w:hAnsi="Times New Roman"/>
        </w:rPr>
        <w:t>Comme prévu, ce sont les SCPI les plus impliquées dans les murs de com</w:t>
      </w:r>
      <w:r>
        <w:rPr>
          <w:rFonts w:ascii="Times New Roman" w:hAnsi="Times New Roman"/>
        </w:rPr>
        <w:t>merce qui ont été, temporairement, les plus pénalisés ; ainsi, IMMORENTE a vu son taux de recouvrement baisser à 84% contre 96% sur le 1</w:t>
      </w:r>
      <w:r>
        <w:rPr>
          <w:rFonts w:ascii="Times New Roman" w:hAnsi="Times New Roman"/>
          <w:vertAlign w:val="superscript"/>
        </w:rPr>
        <w:t>er</w:t>
      </w:r>
      <w:r>
        <w:rPr>
          <w:rFonts w:ascii="Times New Roman" w:hAnsi="Times New Roman"/>
        </w:rPr>
        <w:t xml:space="preserve"> semestre 2019 ; le dividende devrait donc être ramené de 14,1/14,90 euros par part, au lieu de 15,50 euros par part e</w:t>
      </w:r>
      <w:r>
        <w:rPr>
          <w:rFonts w:ascii="Times New Roman" w:hAnsi="Times New Roman"/>
        </w:rPr>
        <w:t>n 2019.</w:t>
      </w:r>
    </w:p>
    <w:p w:rsidR="0086570A" w:rsidRDefault="007E54DB">
      <w:pPr>
        <w:jc w:val="both"/>
        <w:rPr>
          <w:rFonts w:ascii="Times New Roman" w:hAnsi="Times New Roman"/>
        </w:rPr>
      </w:pPr>
      <w:r>
        <w:rPr>
          <w:rFonts w:ascii="Times New Roman" w:hAnsi="Times New Roman"/>
        </w:rPr>
        <w:t>De même ALTIXIA COMMERCES a baissé les acomptes du trimestre mais la société table toujours sur un rendement de 5% pour 2020.</w:t>
      </w:r>
    </w:p>
    <w:p w:rsidR="0086570A" w:rsidRDefault="007E54DB">
      <w:pPr>
        <w:jc w:val="both"/>
      </w:pPr>
      <w:r>
        <w:rPr>
          <w:rFonts w:ascii="Times New Roman" w:hAnsi="Times New Roman"/>
        </w:rPr>
        <w:lastRenderedPageBreak/>
        <w:t>Une SCPI de bureaux comme EFIMMO affiche un taux de recouvrement de 95% pour le 1</w:t>
      </w:r>
      <w:r>
        <w:rPr>
          <w:rFonts w:ascii="Times New Roman" w:hAnsi="Times New Roman"/>
          <w:vertAlign w:val="superscript"/>
        </w:rPr>
        <w:t>er</w:t>
      </w:r>
      <w:r>
        <w:rPr>
          <w:rFonts w:ascii="Times New Roman" w:hAnsi="Times New Roman"/>
        </w:rPr>
        <w:t xml:space="preserve"> semestre 2020 et les prévisions de rés</w:t>
      </w:r>
      <w:r>
        <w:rPr>
          <w:rFonts w:ascii="Times New Roman" w:hAnsi="Times New Roman"/>
        </w:rPr>
        <w:t>ultats sont compris entre 10,7 et 11,30 euros par part contre 11,64 euros en 2019.</w:t>
      </w:r>
    </w:p>
    <w:p w:rsidR="0086570A" w:rsidRDefault="007E54DB">
      <w:pPr>
        <w:jc w:val="both"/>
        <w:rPr>
          <w:rFonts w:ascii="Times New Roman" w:hAnsi="Times New Roman"/>
        </w:rPr>
      </w:pPr>
      <w:r>
        <w:rPr>
          <w:rFonts w:ascii="Times New Roman" w:hAnsi="Times New Roman"/>
        </w:rPr>
        <w:t>En revanche, PF Grand Paris, continue à tabler sur une hausse du dividende à 23 euros par part contre 22 euros en 2019. La SCPI a été, à ce jour, extrêmement peu impactée pa</w:t>
      </w:r>
      <w:r>
        <w:rPr>
          <w:rFonts w:ascii="Times New Roman" w:hAnsi="Times New Roman"/>
        </w:rPr>
        <w:t>r la crise.</w:t>
      </w:r>
    </w:p>
    <w:p w:rsidR="0086570A" w:rsidRDefault="007E54DB">
      <w:pPr>
        <w:jc w:val="both"/>
        <w:rPr>
          <w:rFonts w:ascii="Times New Roman" w:hAnsi="Times New Roman"/>
        </w:rPr>
      </w:pPr>
      <w:r>
        <w:rPr>
          <w:rFonts w:ascii="Times New Roman" w:hAnsi="Times New Roman"/>
        </w:rPr>
        <w:t>Des SCPI régionales comme Epargne Pierre envisagent une fourchette de rendement de 5,25% à 5,40% contre 5,85% l’an dernier ; tandis que VENDOME Régions devrait verser 5,9% vs 6,10%.</w:t>
      </w:r>
    </w:p>
    <w:p w:rsidR="0086570A" w:rsidRDefault="007E54DB">
      <w:pPr>
        <w:jc w:val="both"/>
      </w:pPr>
      <w:r>
        <w:rPr>
          <w:rFonts w:ascii="Times New Roman" w:hAnsi="Times New Roman"/>
        </w:rPr>
        <w:t>Quant à CORUM, pour CORUM Origin comme pour CORUM XL, très imp</w:t>
      </w:r>
      <w:r>
        <w:rPr>
          <w:rFonts w:ascii="Times New Roman" w:hAnsi="Times New Roman"/>
        </w:rPr>
        <w:t xml:space="preserve">lantées à l’étranger, les incidences seraient respectivement de 0,08% à 0,04%, sur leur rendement annuel, comme vous pourrez le voir sur leur site à l’adresse suivante : </w:t>
      </w:r>
      <w:hyperlink r:id="rId7" w:history="1">
        <w:r>
          <w:rPr>
            <w:rStyle w:val="Lienhypertexte"/>
            <w:rFonts w:ascii="Times New Roman" w:hAnsi="Times New Roman"/>
          </w:rPr>
          <w:t>https://www.corum.fr/coronavirus</w:t>
        </w:r>
      </w:hyperlink>
    </w:p>
    <w:p w:rsidR="0086570A" w:rsidRDefault="007E54DB">
      <w:pPr>
        <w:jc w:val="both"/>
      </w:pPr>
      <w:r>
        <w:rPr>
          <w:rFonts w:ascii="Times New Roman" w:hAnsi="Times New Roman"/>
        </w:rPr>
        <w:t xml:space="preserve">En </w:t>
      </w:r>
      <w:r>
        <w:rPr>
          <w:rFonts w:ascii="Times New Roman" w:hAnsi="Times New Roman"/>
        </w:rPr>
        <w:t>ce qui concerne l’avenir, il semblerait que les taux de rendement des immeubles situés à Paris et en 1</w:t>
      </w:r>
      <w:r>
        <w:rPr>
          <w:rFonts w:ascii="Times New Roman" w:hAnsi="Times New Roman"/>
          <w:vertAlign w:val="superscript"/>
        </w:rPr>
        <w:t>ère</w:t>
      </w:r>
      <w:r>
        <w:rPr>
          <w:rFonts w:ascii="Times New Roman" w:hAnsi="Times New Roman"/>
        </w:rPr>
        <w:t xml:space="preserve"> couronne (Centre, Sud et Est) devrait rester stables, voire continuer à se tendre légèrement car le taux de vacances est historiquement bas actuelleme</w:t>
      </w:r>
      <w:r>
        <w:rPr>
          <w:rFonts w:ascii="Times New Roman" w:hAnsi="Times New Roman"/>
        </w:rPr>
        <w:t>nt, particulièrement à Paris. Pour les secteurs moins cotés (Nord de Paris, La Défense ou la province), les taux pourraient remonter car la demande est moins soutenue. On risque, selon PERIAL, d’assister à une segmentation du marché un peu plus prononcée d</w:t>
      </w:r>
      <w:r>
        <w:rPr>
          <w:rFonts w:ascii="Times New Roman" w:hAnsi="Times New Roman"/>
        </w:rPr>
        <w:t>ésormais.</w:t>
      </w:r>
    </w:p>
    <w:p w:rsidR="0086570A" w:rsidRDefault="007E54DB">
      <w:pPr>
        <w:jc w:val="both"/>
        <w:rPr>
          <w:rFonts w:ascii="Times New Roman" w:hAnsi="Times New Roman"/>
        </w:rPr>
      </w:pPr>
      <w:r>
        <w:rPr>
          <w:rFonts w:ascii="Times New Roman" w:hAnsi="Times New Roman"/>
        </w:rPr>
        <w:t>PERIAL s’est associé à IPSOS pour effectuer un sondage auprès des salariés à propos du télétravail ; il en ressort que 57% d’entre eux pensent que le télétravail « va se développer en complément du travail sur site, sans jamais le remplacer » ; e</w:t>
      </w:r>
      <w:r>
        <w:rPr>
          <w:rFonts w:ascii="Times New Roman" w:hAnsi="Times New Roman"/>
        </w:rPr>
        <w:t>n moyenne, les salariés souhaiteraient télé-travailler 1,5 jours par semaine ; PERIAL estime que, en théorie, dans cette hypothèse, le taux d’occupation se maintiendrait au-dessus de 90%.</w:t>
      </w:r>
    </w:p>
    <w:p w:rsidR="0086570A" w:rsidRDefault="007E54DB">
      <w:pPr>
        <w:jc w:val="both"/>
        <w:rPr>
          <w:rFonts w:ascii="Times New Roman" w:hAnsi="Times New Roman"/>
        </w:rPr>
      </w:pPr>
      <w:r>
        <w:rPr>
          <w:rFonts w:ascii="Times New Roman" w:hAnsi="Times New Roman"/>
        </w:rPr>
        <w:t>En ce qui concerne les commerces, la tendance haussière du e-commerc</w:t>
      </w:r>
      <w:r>
        <w:rPr>
          <w:rFonts w:ascii="Times New Roman" w:hAnsi="Times New Roman"/>
        </w:rPr>
        <w:t>e s’est nettement accélérée avec la crise. Selon SOFIDY, la crise fait aussi ressortir un besoin de proximité plus important, ce qui profiterait aux magasins de centre-ville. Par ailleurs, il semblerait que, si les consommateurs achètent de plus en plus en</w:t>
      </w:r>
      <w:r>
        <w:rPr>
          <w:rFonts w:ascii="Times New Roman" w:hAnsi="Times New Roman"/>
        </w:rPr>
        <w:t xml:space="preserve"> ligne, ils apprécient les enseignes qui ont aussi des magasins « physiques ».</w:t>
      </w:r>
    </w:p>
    <w:p w:rsidR="0086570A" w:rsidRDefault="007E54DB">
      <w:pPr>
        <w:jc w:val="both"/>
        <w:rPr>
          <w:rFonts w:ascii="Times New Roman" w:hAnsi="Times New Roman"/>
        </w:rPr>
      </w:pPr>
      <w:r>
        <w:rPr>
          <w:rFonts w:ascii="Times New Roman" w:hAnsi="Times New Roman"/>
        </w:rPr>
        <w:t>Toutefois il est difficile, pour le moment, de chiffrer cette évolution ; il faudra sans-doute attendre la fin de l’année pour voir si les taux d’occupation des SCPI spécialisée</w:t>
      </w:r>
      <w:r>
        <w:rPr>
          <w:rFonts w:ascii="Times New Roman" w:hAnsi="Times New Roman"/>
        </w:rPr>
        <w:t>s dans les murs de commerce commencent à baisser ou non ; si cette tendance devait s’observer aussi dans les bureaux, cela devrait s’étaler un peu plus dans le temps, à moins que le chômage augmente brusquement en région parisienne, ce qui ne semble pas êt</w:t>
      </w:r>
      <w:r>
        <w:rPr>
          <w:rFonts w:ascii="Times New Roman" w:hAnsi="Times New Roman"/>
        </w:rPr>
        <w:t>re le cas pour le moment.</w:t>
      </w:r>
    </w:p>
    <w:p w:rsidR="0086570A" w:rsidRDefault="007E54DB">
      <w:pPr>
        <w:jc w:val="both"/>
        <w:rPr>
          <w:rFonts w:ascii="Times New Roman" w:hAnsi="Times New Roman"/>
        </w:rPr>
      </w:pPr>
      <w:r>
        <w:rPr>
          <w:rFonts w:ascii="Times New Roman" w:hAnsi="Times New Roman"/>
        </w:rPr>
        <w:t>Dans une interview récente au Point, Jean-Charles MERIAUX indiquait qu’il faudrait se montrer un peu plus prudent avec l’immobilier professionnel et peut-être se tourner vers l’immobilier résidentiel ; cela peut se faire par des i</w:t>
      </w:r>
      <w:r>
        <w:rPr>
          <w:rFonts w:ascii="Times New Roman" w:hAnsi="Times New Roman"/>
        </w:rPr>
        <w:t xml:space="preserve">nvestissements directs mais aussi par des SCPI spécialisées sur ce créneau ; comme SOFIPRIME, gérée par SOFIDY, qui investit exclusivement dans des immeubles de standing dans les quartiers parisiens les plus prisés ; ou NOVAPIERRE RESIDENTIEL qui investit </w:t>
      </w:r>
      <w:r>
        <w:rPr>
          <w:rFonts w:ascii="Times New Roman" w:hAnsi="Times New Roman"/>
        </w:rPr>
        <w:t>également essentiellement à PARIS, et notamment dans des immeubles soumis à la loi de 48 ou des immeubles acquis en nue-propriété.</w:t>
      </w:r>
    </w:p>
    <w:p w:rsidR="0086570A" w:rsidRDefault="0086570A">
      <w:pPr>
        <w:jc w:val="both"/>
        <w:rPr>
          <w:rFonts w:ascii="Times New Roman" w:hAnsi="Times New Roman"/>
        </w:rPr>
      </w:pPr>
    </w:p>
    <w:p w:rsidR="0086570A" w:rsidRDefault="0086570A">
      <w:pPr>
        <w:jc w:val="both"/>
        <w:rPr>
          <w:rFonts w:ascii="Times New Roman" w:hAnsi="Times New Roman"/>
        </w:rPr>
      </w:pPr>
    </w:p>
    <w:p w:rsidR="0086570A" w:rsidRDefault="0086570A">
      <w:pPr>
        <w:jc w:val="both"/>
        <w:rPr>
          <w:rFonts w:ascii="Times New Roman" w:hAnsi="Times New Roman"/>
        </w:rPr>
      </w:pPr>
    </w:p>
    <w:sectPr w:rsidR="0086570A">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4DB" w:rsidRDefault="007E54DB">
      <w:pPr>
        <w:spacing w:after="0" w:line="240" w:lineRule="auto"/>
      </w:pPr>
      <w:r>
        <w:separator/>
      </w:r>
    </w:p>
  </w:endnote>
  <w:endnote w:type="continuationSeparator" w:id="0">
    <w:p w:rsidR="007E54DB" w:rsidRDefault="007E5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4DB" w:rsidRDefault="007E54DB">
      <w:pPr>
        <w:spacing w:after="0" w:line="240" w:lineRule="auto"/>
      </w:pPr>
      <w:r>
        <w:rPr>
          <w:color w:val="000000"/>
        </w:rPr>
        <w:separator/>
      </w:r>
    </w:p>
  </w:footnote>
  <w:footnote w:type="continuationSeparator" w:id="0">
    <w:p w:rsidR="007E54DB" w:rsidRDefault="007E54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86570A"/>
    <w:rsid w:val="00383BD8"/>
    <w:rsid w:val="007E54DB"/>
    <w:rsid w:val="008657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9EB437-39FB-4DE9-9F76-3B01C3CD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563C1"/>
      <w:u w:val="single"/>
    </w:rPr>
  </w:style>
  <w:style w:type="character" w:customStyle="1" w:styleId="Mentionnonrsolue">
    <w:name w:val="Mention non résolue"/>
    <w:basedOn w:val="Policepardfaut"/>
    <w:rPr>
      <w:color w:val="605E5C"/>
      <w:shd w:val="clear" w:color="auto" w:fill="E1DFDD"/>
    </w:rPr>
  </w:style>
  <w:style w:type="paragraph" w:customStyle="1" w:styleId="css-s6jpj4">
    <w:name w:val="css-s6jpj4"/>
    <w:basedOn w:val="Normal"/>
    <w:pPr>
      <w:suppressAutoHyphens w:val="0"/>
      <w:spacing w:before="100" w:after="100" w:line="240" w:lineRule="auto"/>
      <w:textAlignment w:val="auto"/>
    </w:pPr>
    <w:rPr>
      <w:rFonts w:ascii="Times New Roman" w:eastAsia="Times New Roman" w:hAnsi="Times New Roman"/>
      <w:sz w:val="24"/>
      <w:szCs w:val="24"/>
      <w:lang w:eastAsia="fr-FR"/>
    </w:rPr>
  </w:style>
  <w:style w:type="character" w:styleId="Accentuation">
    <w:name w:val="Emphasis"/>
    <w:basedOn w:val="Policepardfaut"/>
    <w:rPr>
      <w:i/>
      <w:iCs/>
    </w:rPr>
  </w:style>
  <w:style w:type="character" w:styleId="lev">
    <w:name w:val="Strong"/>
    <w:basedOn w:val="Policepardfau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rum.fr/coronavir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1385</Words>
  <Characters>7619</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Haguet</dc:creator>
  <dc:description/>
  <cp:lastModifiedBy>PROCONTACT</cp:lastModifiedBy>
  <cp:revision>2</cp:revision>
  <cp:lastPrinted>2020-09-18T16:02:00Z</cp:lastPrinted>
  <dcterms:created xsi:type="dcterms:W3CDTF">2021-01-26T12:40:00Z</dcterms:created>
  <dcterms:modified xsi:type="dcterms:W3CDTF">2021-01-26T12:40:00Z</dcterms:modified>
</cp:coreProperties>
</file>